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val="0"/>
        <w:topLinePunct w:val="0"/>
        <w:autoSpaceDE/>
        <w:autoSpaceDN/>
        <w:bidi w:val="0"/>
        <w:adjustRightInd w:val="0"/>
        <w:snapToGrid w:val="0"/>
        <w:spacing w:line="900" w:lineRule="exact"/>
        <w:ind w:left="0"/>
        <w:jc w:val="center"/>
        <w:textAlignment w:val="auto"/>
        <w:rPr>
          <w:rFonts w:hint="default" w:ascii="Times New Roman" w:hAnsi="Times New Roman" w:cs="Times New Roman"/>
          <w:color w:val="auto"/>
          <w:spacing w:val="0"/>
        </w:rPr>
      </w:pPr>
      <w:bookmarkStart w:id="1428" w:name="_GoBack"/>
      <w:bookmarkEnd w:id="1428"/>
    </w:p>
    <w:p>
      <w:pPr>
        <w:pStyle w:val="5"/>
        <w:keepNext w:val="0"/>
        <w:keepLines w:val="0"/>
        <w:pageBreakBefore w:val="0"/>
        <w:widowControl w:val="0"/>
        <w:kinsoku/>
        <w:wordWrap/>
        <w:overflowPunct w:val="0"/>
        <w:topLinePunct w:val="0"/>
        <w:autoSpaceDE/>
        <w:autoSpaceDN/>
        <w:bidi w:val="0"/>
        <w:adjustRightInd w:val="0"/>
        <w:snapToGrid w:val="0"/>
        <w:spacing w:line="1000" w:lineRule="exact"/>
        <w:ind w:left="0"/>
        <w:jc w:val="center"/>
        <w:textAlignment w:val="auto"/>
        <w:rPr>
          <w:rFonts w:hint="default" w:ascii="Times New Roman" w:hAnsi="Times New Roman" w:eastAsia="方正小标宋简体" w:cs="Times New Roman"/>
          <w:color w:val="auto"/>
          <w:spacing w:val="0"/>
          <w:sz w:val="50"/>
          <w:szCs w:val="50"/>
        </w:rPr>
      </w:pPr>
    </w:p>
    <w:p>
      <w:pPr>
        <w:pStyle w:val="5"/>
        <w:keepNext w:val="0"/>
        <w:keepLines w:val="0"/>
        <w:pageBreakBefore w:val="0"/>
        <w:widowControl w:val="0"/>
        <w:kinsoku/>
        <w:wordWrap/>
        <w:overflowPunct w:val="0"/>
        <w:topLinePunct w:val="0"/>
        <w:autoSpaceDE/>
        <w:autoSpaceDN/>
        <w:bidi w:val="0"/>
        <w:adjustRightInd w:val="0"/>
        <w:snapToGrid w:val="0"/>
        <w:spacing w:line="1000" w:lineRule="exact"/>
        <w:ind w:left="0"/>
        <w:jc w:val="center"/>
        <w:textAlignment w:val="auto"/>
        <w:rPr>
          <w:rFonts w:hint="default" w:ascii="Times New Roman" w:hAnsi="Times New Roman" w:eastAsia="方正小标宋简体" w:cs="Times New Roman"/>
          <w:color w:val="auto"/>
          <w:spacing w:val="0"/>
          <w:sz w:val="50"/>
          <w:szCs w:val="50"/>
          <w:lang w:eastAsia="zh-CN"/>
        </w:rPr>
      </w:pPr>
      <w:r>
        <w:rPr>
          <w:rFonts w:hint="default" w:ascii="Times New Roman" w:hAnsi="Times New Roman" w:eastAsia="方正小标宋简体" w:cs="Times New Roman"/>
          <w:color w:val="auto"/>
          <w:spacing w:val="0"/>
          <w:sz w:val="50"/>
          <w:szCs w:val="50"/>
        </w:rPr>
        <w:t>海南省</w:t>
      </w:r>
      <w:r>
        <w:rPr>
          <w:rFonts w:hint="eastAsia" w:ascii="Times New Roman" w:hAnsi="Times New Roman" w:eastAsia="方正小标宋简体" w:cs="Times New Roman"/>
          <w:color w:val="auto"/>
          <w:spacing w:val="0"/>
          <w:sz w:val="50"/>
          <w:szCs w:val="50"/>
        </w:rPr>
        <w:t>“</w:t>
      </w:r>
      <w:r>
        <w:rPr>
          <w:rFonts w:hint="default" w:ascii="Times New Roman" w:hAnsi="Times New Roman" w:eastAsia="方正小标宋简体" w:cs="Times New Roman"/>
          <w:color w:val="auto"/>
          <w:spacing w:val="0"/>
          <w:sz w:val="50"/>
          <w:szCs w:val="50"/>
        </w:rPr>
        <w:t>十五五</w:t>
      </w:r>
      <w:r>
        <w:rPr>
          <w:rFonts w:hint="eastAsia" w:ascii="Times New Roman" w:hAnsi="Times New Roman" w:eastAsia="方正小标宋简体" w:cs="Times New Roman"/>
          <w:color w:val="auto"/>
          <w:spacing w:val="0"/>
          <w:sz w:val="50"/>
          <w:szCs w:val="50"/>
        </w:rPr>
        <w:t>”</w:t>
      </w:r>
      <w:r>
        <w:rPr>
          <w:rFonts w:hint="default" w:ascii="Times New Roman" w:hAnsi="Times New Roman" w:eastAsia="方正小标宋简体" w:cs="Times New Roman"/>
          <w:color w:val="auto"/>
          <w:spacing w:val="0"/>
          <w:sz w:val="50"/>
          <w:szCs w:val="50"/>
        </w:rPr>
        <w:t>医疗保障事业发展规划</w:t>
      </w: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auto"/>
          <w:spacing w:val="0"/>
          <w:sz w:val="36"/>
          <w:szCs w:val="36"/>
          <w:highlight w:val="none"/>
        </w:r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auto"/>
          <w:spacing w:val="0"/>
          <w:sz w:val="36"/>
          <w:szCs w:val="36"/>
          <w:highlight w:val="none"/>
        </w:r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auto"/>
          <w:spacing w:val="0"/>
          <w:sz w:val="36"/>
          <w:szCs w:val="36"/>
          <w:highlight w:val="none"/>
        </w:r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auto"/>
          <w:spacing w:val="0"/>
          <w:sz w:val="36"/>
          <w:szCs w:val="36"/>
          <w:highlight w:val="none"/>
        </w:r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auto"/>
          <w:spacing w:val="0"/>
          <w:sz w:val="36"/>
          <w:szCs w:val="36"/>
          <w:highlight w:val="none"/>
        </w:r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auto"/>
          <w:spacing w:val="0"/>
          <w:sz w:val="36"/>
          <w:szCs w:val="36"/>
          <w:highlight w:val="none"/>
        </w:r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auto"/>
          <w:spacing w:val="0"/>
          <w:sz w:val="36"/>
          <w:szCs w:val="36"/>
          <w:highlight w:val="none"/>
        </w:r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auto"/>
          <w:spacing w:val="0"/>
          <w:sz w:val="36"/>
          <w:szCs w:val="36"/>
          <w:highlight w:val="none"/>
        </w:r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auto"/>
          <w:spacing w:val="0"/>
          <w:sz w:val="36"/>
          <w:szCs w:val="36"/>
          <w:highlight w:val="none"/>
        </w:r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auto"/>
          <w:spacing w:val="0"/>
          <w:sz w:val="36"/>
          <w:szCs w:val="36"/>
          <w:highlight w:val="none"/>
        </w:r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color w:val="auto"/>
          <w:spacing w:val="0"/>
          <w:sz w:val="36"/>
          <w:szCs w:val="36"/>
          <w:highlight w:val="none"/>
        </w:r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default" w:ascii="Times New Roman" w:hAnsi="Times New Roman" w:eastAsia="黑体" w:cs="Times New Roman"/>
          <w:color w:val="auto"/>
          <w:spacing w:val="0"/>
          <w:sz w:val="36"/>
          <w:szCs w:val="36"/>
          <w:highlight w:val="none"/>
        </w:rPr>
      </w:pPr>
    </w:p>
    <w:p>
      <w:pPr>
        <w:keepNext w:val="0"/>
        <w:keepLines w:val="0"/>
        <w:pageBreakBefore w:val="0"/>
        <w:widowControl w:val="0"/>
        <w:kinsoku/>
        <w:wordWrap/>
        <w:overflowPunct w:val="0"/>
        <w:topLinePunct w:val="0"/>
        <w:autoSpaceDE/>
        <w:autoSpaceDN/>
        <w:bidi w:val="0"/>
        <w:adjustRightInd w:val="0"/>
        <w:snapToGrid w:val="0"/>
        <w:spacing w:line="600" w:lineRule="exact"/>
        <w:ind w:left="0"/>
        <w:jc w:val="center"/>
        <w:textAlignment w:val="auto"/>
        <w:rPr>
          <w:rFonts w:hint="default" w:ascii="Times New Roman" w:hAnsi="Times New Roman" w:eastAsia="黑体" w:cs="Times New Roman"/>
          <w:color w:val="auto"/>
          <w:spacing w:val="0"/>
          <w:sz w:val="36"/>
          <w:szCs w:val="36"/>
          <w:highlight w:val="none"/>
        </w:rPr>
        <w:sectPr>
          <w:footerReference r:id="rId4" w:type="first"/>
          <w:footerReference r:id="rId3" w:type="default"/>
          <w:pgSz w:w="11905" w:h="16838"/>
          <w:pgMar w:top="1928" w:right="1531" w:bottom="1701" w:left="1531" w:header="0" w:footer="1247" w:gutter="0"/>
          <w:pgNumType w:fmt="numberInDash" w:start="1"/>
          <w:cols w:space="720" w:num="1"/>
          <w:titlePg/>
          <w:rtlGutter w:val="0"/>
        </w:sectPr>
      </w:pPr>
      <w:r>
        <w:rPr>
          <w:rFonts w:hint="default" w:ascii="Times New Roman" w:hAnsi="Times New Roman" w:eastAsia="黑体" w:cs="Times New Roman"/>
          <w:color w:val="auto"/>
          <w:spacing w:val="0"/>
          <w:sz w:val="36"/>
          <w:szCs w:val="36"/>
          <w:highlight w:val="none"/>
        </w:rPr>
        <w:t>2026年</w:t>
      </w:r>
      <w:r>
        <w:rPr>
          <w:rFonts w:hint="eastAsia" w:ascii="Times New Roman" w:hAnsi="Times New Roman" w:eastAsia="黑体" w:cs="Times New Roman"/>
          <w:color w:val="auto"/>
          <w:spacing w:val="0"/>
          <w:sz w:val="36"/>
          <w:szCs w:val="36"/>
          <w:highlight w:val="none"/>
          <w:lang w:val="en-US" w:eastAsia="zh-CN"/>
        </w:rPr>
        <w:t>10</w:t>
      </w:r>
      <w:r>
        <w:rPr>
          <w:rFonts w:hint="default" w:ascii="Times New Roman" w:hAnsi="Times New Roman" w:eastAsia="黑体" w:cs="Times New Roman"/>
          <w:color w:val="auto"/>
          <w:spacing w:val="0"/>
          <w:sz w:val="36"/>
          <w:szCs w:val="36"/>
          <w:highlight w:val="none"/>
        </w:rPr>
        <w:t>月</w:t>
      </w:r>
    </w:p>
    <w:p>
      <w:pPr>
        <w:keepNext w:val="0"/>
        <w:keepLines w:val="0"/>
        <w:pageBreakBefore w:val="0"/>
        <w:widowControl w:val="0"/>
        <w:kinsoku/>
        <w:wordWrap/>
        <w:overflowPunct w:val="0"/>
        <w:topLinePunct w:val="0"/>
        <w:autoSpaceDE/>
        <w:autoSpaceDN/>
        <w:bidi w:val="0"/>
        <w:adjustRightInd w:val="0"/>
        <w:snapToGrid w:val="0"/>
        <w:spacing w:line="60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auto"/>
          <w:spacing w:val="0"/>
          <w:sz w:val="44"/>
          <w:szCs w:val="44"/>
        </w:rPr>
      </w:pPr>
      <w:r>
        <w:rPr>
          <w:rFonts w:hint="eastAsia" w:ascii="方正小标宋简体" w:hAnsi="方正小标宋简体" w:eastAsia="方正小标宋简体" w:cs="方正小标宋简体"/>
          <w:color w:val="auto"/>
          <w:spacing w:val="0"/>
          <w:sz w:val="44"/>
          <w:szCs w:val="44"/>
        </w:rPr>
        <w:t>目</w:t>
      </w:r>
      <w:r>
        <w:rPr>
          <w:rFonts w:hint="eastAsia" w:ascii="方正小标宋简体" w:hAnsi="方正小标宋简体" w:eastAsia="方正小标宋简体" w:cs="方正小标宋简体"/>
          <w:color w:val="auto"/>
          <w:spacing w:val="0"/>
          <w:sz w:val="44"/>
          <w:szCs w:val="44"/>
          <w:lang w:val="en-US" w:eastAsia="zh-CN"/>
        </w:rPr>
        <w:t xml:space="preserve">  </w:t>
      </w:r>
      <w:r>
        <w:rPr>
          <w:rFonts w:hint="eastAsia" w:ascii="方正小标宋简体" w:hAnsi="方正小标宋简体" w:eastAsia="方正小标宋简体" w:cs="方正小标宋简体"/>
          <w:color w:val="auto"/>
          <w:spacing w:val="0"/>
          <w:sz w:val="44"/>
          <w:szCs w:val="44"/>
        </w:rPr>
        <w:t>录</w:t>
      </w: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600" w:lineRule="exact"/>
        <w:ind w:left="0" w:leftChars="0"/>
        <w:jc w:val="both"/>
        <w:textAlignment w:val="auto"/>
        <w:rPr>
          <w:rFonts w:hint="default" w:ascii="Times New Roman" w:hAnsi="Times New Roman" w:eastAsia="方正公文小标宋" w:cs="Times New Roman"/>
          <w:color w:val="auto"/>
          <w:spacing w:val="0"/>
          <w:sz w:val="28"/>
          <w:szCs w:val="28"/>
        </w:rPr>
      </w:pP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TOC \o "1-9" \h \u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_Toc14126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黑体" w:cs="Times New Roman"/>
          <w:color w:val="auto"/>
          <w:spacing w:val="0"/>
          <w:sz w:val="28"/>
          <w:szCs w:val="28"/>
          <w:highlight w:val="none"/>
          <w:lang w:val="en-US" w:eastAsia="zh-CN"/>
        </w:rPr>
        <w:t>一、</w:t>
      </w:r>
      <w:r>
        <w:rPr>
          <w:rFonts w:hint="default" w:ascii="Times New Roman" w:hAnsi="Times New Roman" w:eastAsia="黑体" w:cs="Times New Roman"/>
          <w:color w:val="auto"/>
          <w:spacing w:val="0"/>
          <w:sz w:val="28"/>
          <w:szCs w:val="28"/>
          <w:highlight w:val="none"/>
          <w:lang w:eastAsia="zh-CN"/>
        </w:rPr>
        <w:t>总体要求</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_Toc14126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_Toc24992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（一）指导思想</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_Toc24992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_Toc5146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（二）基本原则</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_Toc5146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_Toc21419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（三）发展目标</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_Toc21419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_Toc2731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黑体" w:cs="Times New Roman"/>
          <w:color w:val="auto"/>
          <w:spacing w:val="0"/>
          <w:sz w:val="28"/>
          <w:szCs w:val="28"/>
          <w:highlight w:val="none"/>
          <w:lang w:val="en-US" w:eastAsia="zh-CN"/>
        </w:rPr>
        <w:t>二、</w:t>
      </w:r>
      <w:r>
        <w:rPr>
          <w:rFonts w:hint="default" w:ascii="Times New Roman" w:hAnsi="Times New Roman" w:eastAsia="黑体" w:cs="Times New Roman"/>
          <w:bCs w:val="0"/>
          <w:color w:val="auto"/>
          <w:spacing w:val="0"/>
          <w:sz w:val="28"/>
          <w:szCs w:val="28"/>
          <w:highlight w:val="none"/>
          <w:lang w:val="en-US" w:eastAsia="zh-CN"/>
        </w:rPr>
        <w:t>健全多层次医疗保障体系</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_Toc2731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- 4 -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_Toc21633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（四）巩固完善基本医疗保险制度</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_Toc21633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- 4 -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_Toc31406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（五）提升大病保险和医疗救助制度保障效能</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_Toc31406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- 5 -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_Toc19600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（六）完善生育保险制度</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_Toc19600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- 5 -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_Toc23391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（七）推动商业医疗保险发展</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_Toc23391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- 6 -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_Toc27776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（八）支持医疗互助和慈善救助</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_Toc27776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- 6 -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_Toc24483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黑体" w:cs="Times New Roman"/>
          <w:color w:val="auto"/>
          <w:spacing w:val="0"/>
          <w:sz w:val="28"/>
          <w:szCs w:val="28"/>
          <w:highlight w:val="none"/>
          <w:lang w:val="en-US" w:eastAsia="zh-CN"/>
        </w:rPr>
        <w:t>三、全面实施长期护理保险制度</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_Toc24483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- 7 -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_Toc13591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（九）健全制度框架与政策体系</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_Toc13591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- 7 -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_Toc208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（十）完善管理规范与运行机制</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_Toc208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- 7 -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_Toc28504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（十一）健全经办服务与跨省协作体系</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_Toc28504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- 8 -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_Toc19672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（十二）赋能康养产业发展</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_Toc19672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- 8 -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_Toc7801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黑体" w:cs="Times New Roman"/>
          <w:color w:val="auto"/>
          <w:spacing w:val="0"/>
          <w:sz w:val="28"/>
          <w:szCs w:val="28"/>
          <w:highlight w:val="none"/>
          <w:lang w:val="en-US" w:eastAsia="zh-CN"/>
        </w:rPr>
        <w:t>四、深化医药服务改革</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_Toc7801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- 9 -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_Toc672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（十三）深化医保支付方式改革</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_Toc672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- 9 -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_Toc14992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（十四）完善医疗服务价格形成机制</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_Toc14992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- 10 -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_Toc1187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（十五）健全药品耗材价格形成机制</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_Toc1187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- 10 -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_Toc17320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（十六）优化医保目录管理</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_Toc17320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- 11 -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_Toc23312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（十七）深化真实世界数据医保创新应用</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_Toc23312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- 11 -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_Toc21214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（十八）支持医药产业高质量发展</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_Toc21214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- 12 -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_Toc16142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黑体" w:cs="Times New Roman"/>
          <w:bCs w:val="0"/>
          <w:color w:val="auto"/>
          <w:spacing w:val="0"/>
          <w:sz w:val="28"/>
          <w:szCs w:val="28"/>
          <w:highlight w:val="none"/>
          <w:lang w:val="en-US" w:eastAsia="zh-CN"/>
        </w:rPr>
        <w:t>五、筑牢基金监管体系</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_Toc16142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- 13 -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_Toc5796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（十九）强化基金监管力度</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_Toc5796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- 13 -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eastAsia="仿宋_GB2312" w:cs="Times New Roman"/>
          <w:color w:val="auto"/>
          <w:spacing w:val="0"/>
          <w:sz w:val="28"/>
          <w:szCs w:val="28"/>
          <w:highlight w:val="none"/>
          <w:lang w:val="en-US" w:eastAsia="zh-CN"/>
        </w:rPr>
      </w:pPr>
      <w:r>
        <w:rPr>
          <w:rFonts w:hint="default" w:ascii="Times New Roman" w:hAnsi="Times New Roman" w:eastAsia="仿宋_GB2312" w:cs="Times New Roman"/>
          <w:color w:val="auto"/>
          <w:spacing w:val="0"/>
          <w:sz w:val="28"/>
          <w:szCs w:val="28"/>
          <w:highlight w:val="none"/>
          <w:lang w:val="en-US" w:eastAsia="zh-CN"/>
        </w:rPr>
        <w:fldChar w:fldCharType="begin"/>
      </w:r>
      <w:r>
        <w:rPr>
          <w:rFonts w:hint="default" w:ascii="Times New Roman" w:hAnsi="Times New Roman" w:eastAsia="仿宋_GB2312" w:cs="Times New Roman"/>
          <w:color w:val="auto"/>
          <w:spacing w:val="0"/>
          <w:sz w:val="28"/>
          <w:szCs w:val="28"/>
          <w:highlight w:val="none"/>
          <w:lang w:val="en-US" w:eastAsia="zh-CN"/>
        </w:rPr>
        <w:instrText xml:space="preserve"> HYPERLINK \l _Toc13988 </w:instrText>
      </w:r>
      <w:r>
        <w:rPr>
          <w:rFonts w:hint="default" w:ascii="Times New Roman" w:hAnsi="Times New Roman" w:eastAsia="仿宋_GB2312" w:cs="Times New Roman"/>
          <w:color w:val="auto"/>
          <w:spacing w:val="0"/>
          <w:sz w:val="28"/>
          <w:szCs w:val="28"/>
          <w:highlight w:val="none"/>
          <w:lang w:val="en-US" w:eastAsia="zh-CN"/>
        </w:rPr>
        <w:fldChar w:fldCharType="separate"/>
      </w:r>
      <w:r>
        <w:rPr>
          <w:rFonts w:hint="default" w:ascii="Times New Roman" w:hAnsi="Times New Roman" w:eastAsia="仿宋_GB2312" w:cs="Times New Roman"/>
          <w:color w:val="auto"/>
          <w:spacing w:val="0"/>
          <w:sz w:val="28"/>
          <w:szCs w:val="28"/>
          <w:highlight w:val="none"/>
          <w:lang w:val="en-US" w:eastAsia="zh-CN"/>
        </w:rPr>
        <w:t>（二十）提升智能监管能力</w:t>
      </w:r>
      <w:r>
        <w:rPr>
          <w:rFonts w:hint="default" w:ascii="Times New Roman" w:hAnsi="Times New Roman" w:eastAsia="仿宋_GB2312" w:cs="Times New Roman"/>
          <w:color w:val="auto"/>
          <w:spacing w:val="0"/>
          <w:sz w:val="28"/>
          <w:szCs w:val="28"/>
          <w:highlight w:val="none"/>
          <w:lang w:val="en-US" w:eastAsia="zh-CN"/>
        </w:rPr>
        <w:tab/>
      </w:r>
      <w:r>
        <w:rPr>
          <w:rFonts w:hint="default" w:ascii="Times New Roman" w:hAnsi="Times New Roman" w:eastAsia="仿宋_GB2312" w:cs="Times New Roman"/>
          <w:color w:val="auto"/>
          <w:spacing w:val="0"/>
          <w:sz w:val="28"/>
          <w:szCs w:val="28"/>
          <w:highlight w:val="none"/>
          <w:lang w:val="en-US" w:eastAsia="zh-CN"/>
        </w:rPr>
        <w:fldChar w:fldCharType="begin"/>
      </w:r>
      <w:r>
        <w:rPr>
          <w:rFonts w:hint="default" w:ascii="Times New Roman" w:hAnsi="Times New Roman" w:eastAsia="仿宋_GB2312" w:cs="Times New Roman"/>
          <w:color w:val="auto"/>
          <w:spacing w:val="0"/>
          <w:sz w:val="28"/>
          <w:szCs w:val="28"/>
          <w:highlight w:val="none"/>
          <w:lang w:val="en-US" w:eastAsia="zh-CN"/>
        </w:rPr>
        <w:instrText xml:space="preserve"> PAGEREF _Toc13988 \h </w:instrText>
      </w:r>
      <w:r>
        <w:rPr>
          <w:rFonts w:hint="default" w:ascii="Times New Roman" w:hAnsi="Times New Roman" w:eastAsia="仿宋_GB2312" w:cs="Times New Roman"/>
          <w:color w:val="auto"/>
          <w:spacing w:val="0"/>
          <w:sz w:val="28"/>
          <w:szCs w:val="28"/>
          <w:highlight w:val="none"/>
          <w:lang w:val="en-US" w:eastAsia="zh-CN"/>
        </w:rPr>
        <w:fldChar w:fldCharType="separate"/>
      </w:r>
      <w:r>
        <w:rPr>
          <w:rFonts w:hint="default" w:ascii="Times New Roman" w:hAnsi="Times New Roman" w:eastAsia="仿宋_GB2312" w:cs="Times New Roman"/>
          <w:color w:val="auto"/>
          <w:spacing w:val="0"/>
          <w:sz w:val="28"/>
          <w:szCs w:val="28"/>
          <w:highlight w:val="none"/>
          <w:lang w:val="en-US" w:eastAsia="zh-CN"/>
        </w:rPr>
        <w:t>- 14 -</w:t>
      </w:r>
      <w:r>
        <w:rPr>
          <w:rFonts w:hint="default" w:ascii="Times New Roman" w:hAnsi="Times New Roman" w:eastAsia="仿宋_GB2312" w:cs="Times New Roman"/>
          <w:color w:val="auto"/>
          <w:spacing w:val="0"/>
          <w:sz w:val="28"/>
          <w:szCs w:val="28"/>
          <w:highlight w:val="none"/>
          <w:lang w:val="en-US" w:eastAsia="zh-CN"/>
        </w:rPr>
        <w:fldChar w:fldCharType="end"/>
      </w:r>
      <w:r>
        <w:rPr>
          <w:rFonts w:hint="default" w:ascii="Times New Roman" w:hAnsi="Times New Roman" w:eastAsia="仿宋_GB2312" w:cs="Times New Roman"/>
          <w:color w:val="auto"/>
          <w:spacing w:val="0"/>
          <w:sz w:val="28"/>
          <w:szCs w:val="28"/>
          <w:highlight w:val="none"/>
          <w:lang w:val="en-US" w:eastAsia="zh-CN"/>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_Toc12497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（二十一）健全监管长效机制</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_Toc12497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- 14 -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_Toc2160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黑体" w:cs="Times New Roman"/>
          <w:color w:val="auto"/>
          <w:spacing w:val="0"/>
          <w:sz w:val="28"/>
          <w:szCs w:val="28"/>
          <w:highlight w:val="none"/>
          <w:lang w:val="en-US" w:eastAsia="zh-CN"/>
        </w:rPr>
        <w:t>六、推进基金管理精细化</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_Toc2160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- 15 -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_Toc28940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（二十二）强化基金预算管理与统筹责任</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_Toc28940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- 15 -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eastAsia="方正公文小标宋" w:cs="Times New Roman"/>
          <w:color w:val="auto"/>
          <w:spacing w:val="0"/>
          <w:sz w:val="28"/>
          <w:szCs w:val="28"/>
        </w:rPr>
        <w:sectPr>
          <w:footerReference r:id="rId6" w:type="first"/>
          <w:footerReference r:id="rId5" w:type="default"/>
          <w:footnotePr>
            <w:pos w:val="beneathText"/>
            <w:numFmt w:val="decimalEnclosedCircleChinese"/>
          </w:footnotePr>
          <w:pgSz w:w="11905" w:h="16838"/>
          <w:pgMar w:top="1928" w:right="1531" w:bottom="1701" w:left="1531" w:header="851" w:footer="1247" w:gutter="0"/>
          <w:pgNumType w:fmt="numberInDash" w:start="1"/>
          <w:cols w:space="720" w:num="1"/>
          <w:titlePg/>
          <w:rtlGutter w:val="0"/>
          <w:docGrid w:type="lines" w:linePitch="312" w:charSpace="0"/>
        </w:sectPr>
      </w:pP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_Toc25343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（二十三）加强基金运行监测与风险防控</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_Toc25343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- 16 -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_Toc23365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（二十四）深化医保基金结算管理</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_Toc23365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- 16 -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_Toc21443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（二十五）开展定点机构资源配置规划</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_Toc21443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- 16 -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_Toc9026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黑体" w:cs="Times New Roman"/>
          <w:color w:val="auto"/>
          <w:spacing w:val="0"/>
          <w:sz w:val="28"/>
          <w:szCs w:val="28"/>
          <w:highlight w:val="none"/>
          <w:lang w:val="en-US" w:eastAsia="zh-CN"/>
        </w:rPr>
        <w:t>七、推进医保数智化转型</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_Toc9026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- 17 -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_Toc13068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（二十六）完善医保信息平台功能体系</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_Toc13068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- 17 -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_Toc19787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（二十七）推进人工智能深度应用</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_Toc19787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- 17 -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_Toc5224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（二十八）强化信息化基础设施建设</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_Toc5224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- 18 -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_Toc25974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（二十九）深化数据赋能与共享应用</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_Toc25974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- 18 -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_Toc2601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（三十）拓展行权数字化场景</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_Toc2601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- 19 -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_Toc4632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黑体" w:cs="Times New Roman"/>
          <w:color w:val="auto"/>
          <w:spacing w:val="0"/>
          <w:sz w:val="28"/>
          <w:szCs w:val="28"/>
          <w:highlight w:val="none"/>
          <w:lang w:val="en-US" w:eastAsia="zh-CN"/>
        </w:rPr>
        <w:t>八、优化医疗保障公共管理服务</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_Toc4632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- 20 -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_Toc11207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（三十一）完善经办管理服务体系</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_Toc11207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- 20 -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_Toc24951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（三十二）强化医保协议管理</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_Toc24951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- 20 -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_Toc12962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（三十三）优化公共服务供给机制</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_Toc12962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- 21 -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_Toc14621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（三十四）构建国际化医疗保障服务体系</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_Toc14621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- 21 -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_Toc1450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黑体" w:cs="Times New Roman"/>
          <w:color w:val="auto"/>
          <w:spacing w:val="0"/>
          <w:sz w:val="28"/>
          <w:szCs w:val="28"/>
          <w:highlight w:val="none"/>
          <w:lang w:val="en-US" w:eastAsia="zh-CN"/>
        </w:rPr>
        <w:t>九、加强</w:t>
      </w:r>
      <w:r>
        <w:rPr>
          <w:rFonts w:hint="eastAsia" w:ascii="Times New Roman" w:hAnsi="Times New Roman" w:eastAsia="黑体" w:cs="Times New Roman"/>
          <w:color w:val="auto"/>
          <w:spacing w:val="0"/>
          <w:sz w:val="28"/>
          <w:szCs w:val="28"/>
          <w:highlight w:val="none"/>
          <w:lang w:val="en-US" w:eastAsia="zh-CN"/>
        </w:rPr>
        <w:t>“</w:t>
      </w:r>
      <w:r>
        <w:rPr>
          <w:rFonts w:hint="default" w:ascii="Times New Roman" w:hAnsi="Times New Roman" w:eastAsia="黑体" w:cs="Times New Roman"/>
          <w:color w:val="auto"/>
          <w:spacing w:val="0"/>
          <w:sz w:val="28"/>
          <w:szCs w:val="28"/>
          <w:highlight w:val="none"/>
          <w:lang w:val="en-US" w:eastAsia="zh-CN"/>
        </w:rPr>
        <w:t>三医</w:t>
      </w:r>
      <w:r>
        <w:rPr>
          <w:rFonts w:hint="eastAsia" w:ascii="Times New Roman" w:hAnsi="Times New Roman" w:eastAsia="黑体" w:cs="Times New Roman"/>
          <w:color w:val="auto"/>
          <w:spacing w:val="0"/>
          <w:sz w:val="28"/>
          <w:szCs w:val="28"/>
          <w:highlight w:val="none"/>
          <w:lang w:val="en-US" w:eastAsia="zh-CN"/>
        </w:rPr>
        <w:t>”</w:t>
      </w:r>
      <w:r>
        <w:rPr>
          <w:rFonts w:hint="default" w:ascii="Times New Roman" w:hAnsi="Times New Roman" w:eastAsia="黑体" w:cs="Times New Roman"/>
          <w:color w:val="auto"/>
          <w:spacing w:val="0"/>
          <w:sz w:val="28"/>
          <w:szCs w:val="28"/>
          <w:highlight w:val="none"/>
          <w:lang w:val="en-US" w:eastAsia="zh-CN"/>
        </w:rPr>
        <w:t>协同发展和治理</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_Toc1450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- 22 -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_Toc22067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（三十五）健全协同治理与协商共治机制</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_Toc22067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- 22 -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_Toc32631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（三十六）协同推动医疗服务体系供给侧改革</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_Toc32631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- 23 -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_Toc15042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（三十七）协同推动药品供应保障体系供给侧改革</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_Toc15042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- 23 -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_Toc3216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黑体" w:cs="Times New Roman"/>
          <w:color w:val="auto"/>
          <w:spacing w:val="0"/>
          <w:sz w:val="28"/>
          <w:szCs w:val="28"/>
          <w:highlight w:val="none"/>
          <w:lang w:val="en-US" w:eastAsia="zh-CN"/>
        </w:rPr>
        <w:t>十、夯实发展基础</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_Toc3216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- 23 -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_Toc20807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（三十八）健全法治保障体系</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_Toc20807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- 24 -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_Toc17709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（三十九）深化医保标准化建设</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_Toc17709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- 24 -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_Toc9667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（四十）提高统计支撑能力</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_Toc9667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- 24 -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_Toc24543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（四十一）加强医保人才队伍建设</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_Toc24543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- 25 -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420" w:firstLineChars="1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_Toc25873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（四十二）强化医保宣传引导</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_Toc25873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- 25 -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_Toc16538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黑体" w:cs="Times New Roman"/>
          <w:color w:val="auto"/>
          <w:spacing w:val="0"/>
          <w:sz w:val="28"/>
          <w:szCs w:val="28"/>
          <w:highlight w:val="none"/>
          <w:lang w:val="en-US" w:eastAsia="zh-CN"/>
        </w:rPr>
        <w:t>十一、推进规划实施</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_Toc16538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- 25 -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700" w:firstLineChars="2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_Toc7057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（四十三）加强组织领导</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_Toc7057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- 25 -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700" w:firstLineChars="2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_Toc29987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（四十四）强化部门协同机制</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_Toc29987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- 26 -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8"/>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firstLine="700" w:firstLineChars="250"/>
        <w:jc w:val="both"/>
        <w:textAlignment w:val="auto"/>
        <w:rPr>
          <w:rFonts w:hint="default" w:ascii="Times New Roman" w:hAnsi="Times New Roman" w:cs="Times New Roman"/>
          <w:color w:val="auto"/>
          <w:spacing w:val="0"/>
          <w:sz w:val="28"/>
          <w:szCs w:val="28"/>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_Toc20346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仿宋_GB2312" w:cs="Times New Roman"/>
          <w:color w:val="auto"/>
          <w:spacing w:val="0"/>
          <w:sz w:val="28"/>
          <w:szCs w:val="28"/>
          <w:highlight w:val="none"/>
          <w:lang w:val="en-US" w:eastAsia="zh-CN"/>
        </w:rPr>
        <w:t>（四十五）营造良好社会氛围</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_Toc20346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- 26 -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pStyle w:val="7"/>
        <w:keepNext w:val="0"/>
        <w:keepLines w:val="0"/>
        <w:pageBreakBefore w:val="0"/>
        <w:widowControl w:val="0"/>
        <w:tabs>
          <w:tab w:val="right" w:leader="dot" w:pos="8820"/>
        </w:tabs>
        <w:kinsoku/>
        <w:wordWrap/>
        <w:overflowPunct w:val="0"/>
        <w:topLinePunct w:val="0"/>
        <w:autoSpaceDE/>
        <w:autoSpaceDN/>
        <w:bidi w:val="0"/>
        <w:adjustRightInd w:val="0"/>
        <w:snapToGrid w:val="0"/>
        <w:spacing w:line="420" w:lineRule="exact"/>
        <w:ind w:left="0" w:leftChars="0"/>
        <w:jc w:val="both"/>
        <w:textAlignment w:val="auto"/>
        <w:rPr>
          <w:rFonts w:hint="default" w:ascii="Times New Roman" w:hAnsi="Times New Roman" w:eastAsia="方正公文小标宋" w:cs="Times New Roman"/>
          <w:color w:val="auto"/>
          <w:spacing w:val="0"/>
          <w:szCs w:val="32"/>
        </w:rPr>
      </w:pPr>
      <w:r>
        <w:rPr>
          <w:rFonts w:hint="default" w:ascii="Times New Roman" w:hAnsi="Times New Roman" w:eastAsia="方正公文小标宋" w:cs="Times New Roman"/>
          <w:color w:val="auto"/>
          <w:spacing w:val="0"/>
          <w:sz w:val="28"/>
          <w:szCs w:val="28"/>
        </w:rPr>
        <w:fldChar w:fldCharType="begin"/>
      </w:r>
      <w:r>
        <w:rPr>
          <w:rFonts w:hint="default" w:ascii="Times New Roman" w:hAnsi="Times New Roman" w:eastAsia="方正公文小标宋" w:cs="Times New Roman"/>
          <w:color w:val="auto"/>
          <w:spacing w:val="0"/>
          <w:sz w:val="28"/>
          <w:szCs w:val="28"/>
        </w:rPr>
        <w:instrText xml:space="preserve"> HYPERLINK \l _Toc22531 </w:instrText>
      </w:r>
      <w:r>
        <w:rPr>
          <w:rFonts w:hint="default" w:ascii="Times New Roman" w:hAnsi="Times New Roman" w:eastAsia="方正公文小标宋" w:cs="Times New Roman"/>
          <w:color w:val="auto"/>
          <w:spacing w:val="0"/>
          <w:sz w:val="28"/>
          <w:szCs w:val="28"/>
        </w:rPr>
        <w:fldChar w:fldCharType="separate"/>
      </w:r>
      <w:r>
        <w:rPr>
          <w:rFonts w:hint="default" w:ascii="Times New Roman" w:hAnsi="Times New Roman" w:eastAsia="黑体" w:cs="Times New Roman"/>
          <w:bCs w:val="0"/>
          <w:color w:val="auto"/>
          <w:spacing w:val="0"/>
          <w:sz w:val="28"/>
          <w:szCs w:val="28"/>
          <w:highlight w:val="none"/>
        </w:rPr>
        <w:t>名词解释</w:t>
      </w:r>
      <w:r>
        <w:rPr>
          <w:rFonts w:hint="default" w:ascii="Times New Roman" w:hAnsi="Times New Roman" w:cs="Times New Roman"/>
          <w:color w:val="auto"/>
          <w:spacing w:val="0"/>
          <w:sz w:val="28"/>
          <w:szCs w:val="28"/>
        </w:rPr>
        <w:tab/>
      </w:r>
      <w:r>
        <w:rPr>
          <w:rFonts w:hint="default" w:ascii="Times New Roman" w:hAnsi="Times New Roman" w:cs="Times New Roman"/>
          <w:color w:val="auto"/>
          <w:spacing w:val="0"/>
          <w:sz w:val="28"/>
          <w:szCs w:val="28"/>
        </w:rPr>
        <w:fldChar w:fldCharType="begin"/>
      </w:r>
      <w:r>
        <w:rPr>
          <w:rFonts w:hint="default" w:ascii="Times New Roman" w:hAnsi="Times New Roman" w:cs="Times New Roman"/>
          <w:color w:val="auto"/>
          <w:spacing w:val="0"/>
          <w:sz w:val="28"/>
          <w:szCs w:val="28"/>
        </w:rPr>
        <w:instrText xml:space="preserve"> PAGEREF _Toc22531 \h </w:instrText>
      </w:r>
      <w:r>
        <w:rPr>
          <w:rFonts w:hint="default" w:ascii="Times New Roman" w:hAnsi="Times New Roman" w:cs="Times New Roman"/>
          <w:color w:val="auto"/>
          <w:spacing w:val="0"/>
          <w:sz w:val="28"/>
          <w:szCs w:val="28"/>
        </w:rPr>
        <w:fldChar w:fldCharType="separate"/>
      </w:r>
      <w:r>
        <w:rPr>
          <w:rFonts w:hint="default" w:ascii="Times New Roman" w:hAnsi="Times New Roman" w:cs="Times New Roman"/>
          <w:color w:val="auto"/>
          <w:spacing w:val="0"/>
          <w:sz w:val="28"/>
          <w:szCs w:val="28"/>
        </w:rPr>
        <w:t>- 27 -</w:t>
      </w:r>
      <w:r>
        <w:rPr>
          <w:rFonts w:hint="default" w:ascii="Times New Roman" w:hAnsi="Times New Roman"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r>
        <w:rPr>
          <w:rFonts w:hint="default" w:ascii="Times New Roman" w:hAnsi="Times New Roman" w:eastAsia="方正公文小标宋" w:cs="Times New Roman"/>
          <w:color w:val="auto"/>
          <w:spacing w:val="0"/>
          <w:sz w:val="28"/>
          <w:szCs w:val="28"/>
        </w:rPr>
        <w:fldChar w:fldCharType="end"/>
      </w:r>
    </w:p>
    <w:p>
      <w:pPr>
        <w:keepNext w:val="0"/>
        <w:keepLines w:val="0"/>
        <w:pageBreakBefore w:val="0"/>
        <w:widowControl w:val="0"/>
        <w:kinsoku/>
        <w:wordWrap/>
        <w:overflowPunct w:val="0"/>
        <w:topLinePunct w:val="0"/>
        <w:autoSpaceDE/>
        <w:autoSpaceDN/>
        <w:bidi w:val="0"/>
        <w:adjustRightInd w:val="0"/>
        <w:snapToGrid w:val="0"/>
        <w:spacing w:line="460" w:lineRule="exact"/>
        <w:jc w:val="center"/>
        <w:textAlignment w:val="auto"/>
        <w:rPr>
          <w:rFonts w:hint="default" w:ascii="Times New Roman" w:hAnsi="Times New Roman" w:eastAsia="方正小标宋简体" w:cs="Times New Roman"/>
          <w:color w:val="auto"/>
          <w:spacing w:val="0"/>
          <w:sz w:val="44"/>
          <w:szCs w:val="44"/>
          <w:highlight w:val="none"/>
        </w:rPr>
        <w:sectPr>
          <w:footerReference r:id="rId8" w:type="first"/>
          <w:footerReference r:id="rId7" w:type="default"/>
          <w:footnotePr>
            <w:pos w:val="beneathText"/>
            <w:numFmt w:val="decimalEnclosedCircleChinese"/>
          </w:footnotePr>
          <w:pgSz w:w="11905" w:h="16838"/>
          <w:pgMar w:top="1928" w:right="1531" w:bottom="1701" w:left="1531" w:header="851" w:footer="1247" w:gutter="0"/>
          <w:pgNumType w:fmt="numberInDash" w:start="1"/>
          <w:cols w:space="720" w:num="1"/>
          <w:rtlGutter w:val="0"/>
          <w:docGrid w:type="lines" w:linePitch="312" w:charSpace="0"/>
        </w:sectPr>
      </w:pPr>
    </w:p>
    <w:p>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eastAsia" w:ascii="方正小标宋_GBK" w:hAnsi="方正小标宋_GBK" w:eastAsia="方正小标宋_GBK" w:cs="方正小标宋_GBK"/>
          <w:color w:val="auto"/>
          <w:spacing w:val="0"/>
          <w:sz w:val="42"/>
          <w:szCs w:val="42"/>
          <w:highlight w:val="none"/>
        </w:rPr>
      </w:pPr>
      <w:r>
        <w:rPr>
          <w:rFonts w:hint="eastAsia" w:ascii="方正小标宋_GBK" w:hAnsi="方正小标宋_GBK" w:eastAsia="方正小标宋_GBK" w:cs="方正小标宋_GBK"/>
          <w:color w:val="auto"/>
          <w:spacing w:val="0"/>
          <w:sz w:val="42"/>
          <w:szCs w:val="42"/>
          <w:highlight w:val="none"/>
        </w:rPr>
        <w:t>海南省</w:t>
      </w:r>
      <w:r>
        <w:rPr>
          <w:rFonts w:hint="eastAsia" w:ascii="方正小标宋_GBK" w:hAnsi="方正小标宋_GBK" w:eastAsia="方正小标宋_GBK" w:cs="方正小标宋_GBK"/>
          <w:color w:val="auto"/>
          <w:spacing w:val="0"/>
          <w:sz w:val="42"/>
          <w:szCs w:val="42"/>
          <w:highlight w:val="none"/>
          <w:lang w:eastAsia="zh-CN"/>
        </w:rPr>
        <w:t>“</w:t>
      </w:r>
      <w:r>
        <w:rPr>
          <w:rFonts w:hint="eastAsia" w:ascii="方正小标宋_GBK" w:hAnsi="方正小标宋_GBK" w:eastAsia="方正小标宋_GBK" w:cs="方正小标宋_GBK"/>
          <w:color w:val="auto"/>
          <w:spacing w:val="0"/>
          <w:sz w:val="42"/>
          <w:szCs w:val="42"/>
          <w:highlight w:val="none"/>
        </w:rPr>
        <w:t>十五五</w:t>
      </w:r>
      <w:r>
        <w:rPr>
          <w:rFonts w:hint="eastAsia" w:ascii="方正小标宋_GBK" w:hAnsi="方正小标宋_GBK" w:eastAsia="方正小标宋_GBK" w:cs="方正小标宋_GBK"/>
          <w:color w:val="auto"/>
          <w:spacing w:val="0"/>
          <w:sz w:val="42"/>
          <w:szCs w:val="42"/>
          <w:highlight w:val="none"/>
          <w:lang w:eastAsia="zh-CN"/>
        </w:rPr>
        <w:t>”</w:t>
      </w:r>
      <w:r>
        <w:rPr>
          <w:rFonts w:hint="eastAsia" w:ascii="方正小标宋_GBK" w:hAnsi="方正小标宋_GBK" w:eastAsia="方正小标宋_GBK" w:cs="方正小标宋_GBK"/>
          <w:color w:val="auto"/>
          <w:spacing w:val="0"/>
          <w:sz w:val="42"/>
          <w:szCs w:val="42"/>
          <w:highlight w:val="none"/>
        </w:rPr>
        <w:t>医疗保障事业发展规划</w:t>
      </w:r>
    </w:p>
    <w:p>
      <w:pPr>
        <w:keepNext w:val="0"/>
        <w:keepLines w:val="0"/>
        <w:pageBreakBefore w:val="0"/>
        <w:widowControl w:val="0"/>
        <w:kinsoku/>
        <w:wordWrap/>
        <w:overflowPunct w:val="0"/>
        <w:topLinePunct w:val="0"/>
        <w:autoSpaceDE/>
        <w:autoSpaceDN/>
        <w:bidi w:val="0"/>
        <w:adjustRightInd w:val="0"/>
        <w:snapToGrid w:val="0"/>
        <w:spacing w:line="400" w:lineRule="exact"/>
        <w:ind w:firstLine="640" w:firstLineChars="200"/>
        <w:jc w:val="both"/>
        <w:textAlignment w:val="auto"/>
        <w:outlineLvl w:val="9"/>
        <w:rPr>
          <w:rFonts w:hint="default" w:ascii="Times New Roman" w:hAnsi="Times New Roman" w:eastAsia="仿宋_GB2312" w:cs="Times New Roman"/>
          <w:color w:val="auto"/>
          <w:spacing w:val="0"/>
          <w:sz w:val="32"/>
          <w:szCs w:val="32"/>
          <w:highlight w:val="none"/>
        </w:rPr>
      </w:pPr>
    </w:p>
    <w:p>
      <w:pPr>
        <w:keepNext w:val="0"/>
        <w:keepLines w:val="0"/>
        <w:pageBreakBefore w:val="0"/>
        <w:widowControl w:val="0"/>
        <w:kinsoku/>
        <w:wordWrap/>
        <w:overflowPunct w:val="0"/>
        <w:topLinePunct w:val="0"/>
        <w:autoSpaceDE/>
        <w:autoSpaceDN/>
        <w:bidi w:val="0"/>
        <w:adjustRightInd w:val="0"/>
        <w:snapToGrid w:val="0"/>
        <w:spacing w:line="586"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b w:val="0"/>
          <w:bCs w:val="0"/>
          <w:color w:val="auto"/>
          <w:spacing w:val="6"/>
          <w:sz w:val="30"/>
          <w:szCs w:val="30"/>
          <w:highlight w:val="none"/>
        </w:rPr>
        <w:t>为深入贯彻落实习近平总书记关于医疗保障工作的重要论述</w:t>
      </w:r>
      <w:r>
        <w:rPr>
          <w:rFonts w:hint="eastAsia" w:ascii="仿宋_GB2312" w:hAnsi="仿宋_GB2312" w:eastAsia="仿宋_GB2312" w:cs="仿宋_GB2312"/>
          <w:b w:val="0"/>
          <w:bCs w:val="0"/>
          <w:color w:val="auto"/>
          <w:spacing w:val="6"/>
          <w:sz w:val="30"/>
          <w:szCs w:val="30"/>
          <w:highlight w:val="none"/>
          <w:lang w:eastAsia="zh-CN"/>
        </w:rPr>
        <w:t>及关于</w:t>
      </w:r>
      <w:r>
        <w:rPr>
          <w:rFonts w:hint="eastAsia" w:ascii="仿宋_GB2312" w:hAnsi="仿宋_GB2312" w:eastAsia="仿宋_GB2312" w:cs="仿宋_GB2312"/>
          <w:b w:val="0"/>
          <w:bCs w:val="0"/>
          <w:color w:val="auto"/>
          <w:spacing w:val="6"/>
          <w:sz w:val="30"/>
          <w:szCs w:val="30"/>
          <w:highlight w:val="none"/>
        </w:rPr>
        <w:t>海南工作的系列重要讲话和指示批示精神，</w:t>
      </w:r>
      <w:r>
        <w:rPr>
          <w:rFonts w:hint="eastAsia" w:ascii="仿宋_GB2312" w:hAnsi="仿宋_GB2312" w:eastAsia="仿宋_GB2312" w:cs="仿宋_GB2312"/>
          <w:color w:val="auto"/>
          <w:spacing w:val="6"/>
          <w:sz w:val="30"/>
          <w:szCs w:val="30"/>
          <w:highlight w:val="none"/>
        </w:rPr>
        <w:t>根据《全民医疗保障“十五五”规划》《海南省国民经济和社会发展第十五个五年规划纲要》，结合海南实际，</w:t>
      </w:r>
      <w:r>
        <w:rPr>
          <w:rFonts w:hint="eastAsia" w:ascii="仿宋_GB2312" w:hAnsi="仿宋_GB2312" w:eastAsia="仿宋_GB2312" w:cs="仿宋_GB2312"/>
          <w:color w:val="auto"/>
          <w:spacing w:val="6"/>
          <w:sz w:val="30"/>
          <w:szCs w:val="30"/>
          <w:highlight w:val="none"/>
          <w:lang w:eastAsia="zh-CN"/>
        </w:rPr>
        <w:t>制定</w:t>
      </w:r>
      <w:r>
        <w:rPr>
          <w:rFonts w:hint="eastAsia" w:ascii="仿宋_GB2312" w:hAnsi="仿宋_GB2312" w:eastAsia="仿宋_GB2312" w:cs="仿宋_GB2312"/>
          <w:color w:val="auto"/>
          <w:spacing w:val="6"/>
          <w:sz w:val="30"/>
          <w:szCs w:val="30"/>
          <w:highlight w:val="none"/>
        </w:rPr>
        <w:t>本规划。</w:t>
      </w:r>
      <w:bookmarkStart w:id="0" w:name="_Toc19170"/>
      <w:bookmarkStart w:id="1" w:name="_Toc6982"/>
      <w:bookmarkStart w:id="2" w:name="_Toc25721"/>
      <w:bookmarkStart w:id="3" w:name="_Toc6214"/>
      <w:bookmarkStart w:id="4" w:name="_Toc19941"/>
      <w:bookmarkStart w:id="5" w:name="_Toc24397"/>
      <w:bookmarkStart w:id="6" w:name="_Toc13599"/>
      <w:bookmarkStart w:id="7" w:name="_Toc12519"/>
      <w:bookmarkStart w:id="8" w:name="_Toc12995"/>
      <w:bookmarkStart w:id="9" w:name="_Toc10883"/>
      <w:bookmarkStart w:id="10" w:name="_Toc30435"/>
      <w:bookmarkStart w:id="11" w:name="_Toc3117"/>
      <w:bookmarkStart w:id="12" w:name="_Toc11709"/>
      <w:bookmarkStart w:id="13" w:name="_Toc30899"/>
      <w:bookmarkStart w:id="14" w:name="_Toc1792"/>
      <w:bookmarkStart w:id="15" w:name="_Toc24586"/>
      <w:bookmarkStart w:id="16" w:name="_Toc10969"/>
      <w:bookmarkStart w:id="17" w:name="_Toc3483"/>
      <w:bookmarkStart w:id="18" w:name="_Toc20731"/>
      <w:bookmarkStart w:id="19" w:name="_Toc29834"/>
      <w:bookmarkStart w:id="20" w:name="_Toc7148"/>
      <w:bookmarkStart w:id="21" w:name="_Toc3660"/>
      <w:bookmarkStart w:id="22" w:name="_Toc3082"/>
    </w:p>
    <w:p>
      <w:pPr>
        <w:keepNext w:val="0"/>
        <w:keepLines w:val="0"/>
        <w:pageBreakBefore w:val="0"/>
        <w:widowControl w:val="0"/>
        <w:kinsoku/>
        <w:wordWrap/>
        <w:overflowPunct w:val="0"/>
        <w:topLinePunct w:val="0"/>
        <w:autoSpaceDE/>
        <w:autoSpaceDN/>
        <w:bidi w:val="0"/>
        <w:adjustRightInd w:val="0"/>
        <w:snapToGrid w:val="0"/>
        <w:spacing w:line="586" w:lineRule="exact"/>
        <w:ind w:firstLine="624" w:firstLineChars="200"/>
        <w:jc w:val="both"/>
        <w:textAlignment w:val="auto"/>
        <w:outlineLvl w:val="9"/>
        <w:rPr>
          <w:rFonts w:hint="eastAsia" w:ascii="黑体" w:hAnsi="黑体" w:eastAsia="黑体" w:cs="黑体"/>
          <w:color w:val="auto"/>
          <w:spacing w:val="6"/>
          <w:sz w:val="30"/>
          <w:szCs w:val="30"/>
          <w:highlight w:val="none"/>
          <w:lang w:eastAsia="zh-CN"/>
        </w:rPr>
      </w:pPr>
      <w:bookmarkStart w:id="23" w:name="_Toc5862"/>
      <w:bookmarkStart w:id="24" w:name="_Toc14572"/>
      <w:bookmarkStart w:id="25" w:name="_Toc3542"/>
      <w:bookmarkStart w:id="26" w:name="_Toc14221"/>
      <w:bookmarkStart w:id="27" w:name="_Toc9379"/>
      <w:bookmarkStart w:id="28" w:name="_Toc4008"/>
      <w:bookmarkStart w:id="29" w:name="_Toc18343"/>
      <w:bookmarkStart w:id="30" w:name="_Toc30866"/>
      <w:bookmarkStart w:id="31" w:name="_Toc13878"/>
      <w:bookmarkStart w:id="32" w:name="_Toc23450"/>
      <w:bookmarkStart w:id="33" w:name="_Toc16753"/>
      <w:bookmarkStart w:id="34" w:name="_Toc14561"/>
      <w:bookmarkStart w:id="35" w:name="_Toc21822"/>
      <w:bookmarkStart w:id="36" w:name="_Toc2024872626"/>
      <w:bookmarkStart w:id="37" w:name="_Toc1476744833"/>
      <w:bookmarkStart w:id="38" w:name="_Toc4889"/>
      <w:bookmarkStart w:id="39" w:name="_Toc5165"/>
      <w:bookmarkStart w:id="40" w:name="_Toc10337"/>
      <w:bookmarkStart w:id="41" w:name="_Toc4168"/>
      <w:bookmarkStart w:id="42" w:name="_Toc26159"/>
      <w:bookmarkStart w:id="43" w:name="_Toc10075"/>
      <w:bookmarkStart w:id="44" w:name="_Toc16666"/>
      <w:bookmarkStart w:id="45" w:name="_Toc10614"/>
      <w:bookmarkStart w:id="46" w:name="_Toc1742"/>
      <w:bookmarkStart w:id="47" w:name="_Toc3683"/>
      <w:bookmarkStart w:id="48" w:name="_Toc31278"/>
      <w:bookmarkStart w:id="49" w:name="_Toc14126"/>
      <w:r>
        <w:rPr>
          <w:rFonts w:hint="eastAsia" w:ascii="黑体" w:hAnsi="黑体" w:eastAsia="黑体" w:cs="黑体"/>
          <w:color w:val="auto"/>
          <w:spacing w:val="6"/>
          <w:sz w:val="30"/>
          <w:szCs w:val="30"/>
          <w:highlight w:val="none"/>
          <w:lang w:val="en-US" w:eastAsia="zh-CN"/>
        </w:rPr>
        <w:t>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Start w:id="50" w:name="_Toc14440"/>
      <w:bookmarkStart w:id="51" w:name="_Toc284669962"/>
      <w:bookmarkStart w:id="52" w:name="_Toc1725175021"/>
      <w:bookmarkStart w:id="53" w:name="_Toc24116"/>
      <w:bookmarkStart w:id="54" w:name="_Toc19241"/>
      <w:bookmarkStart w:id="55" w:name="_Toc6234"/>
      <w:bookmarkStart w:id="56" w:name="_Toc29166"/>
      <w:bookmarkStart w:id="57" w:name="_Toc762"/>
      <w:bookmarkStart w:id="58" w:name="_Toc24852"/>
      <w:bookmarkStart w:id="59" w:name="_Toc27560"/>
      <w:bookmarkStart w:id="60" w:name="_Toc18300"/>
      <w:bookmarkStart w:id="61" w:name="_Toc22407"/>
      <w:bookmarkStart w:id="62" w:name="_Toc21573"/>
      <w:bookmarkStart w:id="63" w:name="_Toc21165"/>
      <w:bookmarkStart w:id="64" w:name="_Toc17341"/>
      <w:bookmarkStart w:id="65" w:name="_Toc7006"/>
      <w:bookmarkStart w:id="66" w:name="_Toc24781"/>
      <w:r>
        <w:rPr>
          <w:rFonts w:hint="eastAsia" w:ascii="黑体" w:hAnsi="黑体" w:eastAsia="黑体" w:cs="黑体"/>
          <w:color w:val="auto"/>
          <w:spacing w:val="6"/>
          <w:sz w:val="30"/>
          <w:szCs w:val="30"/>
          <w:highlight w:val="none"/>
          <w:lang w:eastAsia="zh-CN"/>
        </w:rPr>
        <w:t>总体要求</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keepNext w:val="0"/>
        <w:keepLines w:val="0"/>
        <w:pageBreakBefore w:val="0"/>
        <w:widowControl w:val="0"/>
        <w:kinsoku/>
        <w:wordWrap/>
        <w:overflowPunct w:val="0"/>
        <w:topLinePunct w:val="0"/>
        <w:autoSpaceDE/>
        <w:autoSpaceDN/>
        <w:bidi w:val="0"/>
        <w:adjustRightInd w:val="0"/>
        <w:snapToGrid w:val="0"/>
        <w:spacing w:line="586" w:lineRule="exact"/>
        <w:ind w:firstLine="624" w:firstLineChars="200"/>
        <w:jc w:val="both"/>
        <w:textAlignment w:val="auto"/>
        <w:outlineLvl w:val="9"/>
        <w:rPr>
          <w:rFonts w:hint="eastAsia" w:ascii="楷体_GB2312" w:hAnsi="楷体_GB2312" w:eastAsia="楷体_GB2312" w:cs="楷体_GB2312"/>
          <w:color w:val="auto"/>
          <w:spacing w:val="6"/>
          <w:sz w:val="30"/>
          <w:szCs w:val="30"/>
          <w:highlight w:val="none"/>
          <w:lang w:val="en-US" w:eastAsia="zh-CN"/>
        </w:rPr>
      </w:pPr>
      <w:bookmarkStart w:id="67" w:name="_Toc24535"/>
      <w:bookmarkStart w:id="68" w:name="_Toc22949"/>
      <w:bookmarkStart w:id="69" w:name="_Toc5858"/>
      <w:bookmarkStart w:id="70" w:name="_Toc14919"/>
      <w:bookmarkStart w:id="71" w:name="_Toc9301"/>
      <w:bookmarkStart w:id="72" w:name="_Toc25155"/>
      <w:bookmarkStart w:id="73" w:name="_Toc5410"/>
      <w:bookmarkStart w:id="74" w:name="_Toc19236"/>
      <w:bookmarkStart w:id="75" w:name="_Toc28764"/>
      <w:bookmarkStart w:id="76" w:name="_Toc24992"/>
      <w:bookmarkStart w:id="77" w:name="_Toc11250"/>
      <w:bookmarkStart w:id="78" w:name="_Toc13691"/>
      <w:bookmarkStart w:id="79" w:name="_Toc4134"/>
      <w:bookmarkStart w:id="80" w:name="_Toc1657748161"/>
      <w:bookmarkStart w:id="81" w:name="_Toc3446"/>
      <w:bookmarkStart w:id="82" w:name="_Toc14634"/>
      <w:bookmarkStart w:id="83" w:name="_Toc32285"/>
      <w:bookmarkStart w:id="84" w:name="_Toc4477"/>
      <w:bookmarkStart w:id="85" w:name="_Toc13203"/>
      <w:bookmarkStart w:id="86" w:name="_Toc14764"/>
      <w:bookmarkStart w:id="87" w:name="_Toc21461"/>
      <w:bookmarkStart w:id="88" w:name="_Toc21295"/>
      <w:bookmarkStart w:id="89" w:name="_Toc13292"/>
      <w:bookmarkStart w:id="90" w:name="_Toc2441"/>
      <w:bookmarkStart w:id="91" w:name="_Toc20626"/>
      <w:bookmarkStart w:id="92" w:name="_Toc30606"/>
      <w:bookmarkStart w:id="93" w:name="_Toc9271"/>
      <w:bookmarkStart w:id="94" w:name="_Toc87986206"/>
      <w:r>
        <w:rPr>
          <w:rFonts w:hint="eastAsia" w:ascii="楷体_GB2312" w:hAnsi="楷体_GB2312" w:eastAsia="楷体_GB2312" w:cs="楷体_GB2312"/>
          <w:color w:val="auto"/>
          <w:spacing w:val="6"/>
          <w:sz w:val="30"/>
          <w:szCs w:val="30"/>
          <w:highlight w:val="none"/>
          <w:lang w:val="en-US" w:eastAsia="zh-CN"/>
        </w:rPr>
        <w:t>（一）指导思想</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Fonts w:hint="eastAsia" w:ascii="楷体_GB2312" w:hAnsi="楷体_GB2312" w:eastAsia="楷体_GB2312" w:cs="楷体_GB2312"/>
          <w:color w:val="auto"/>
          <w:spacing w:val="6"/>
          <w:sz w:val="30"/>
          <w:szCs w:val="30"/>
          <w:highlight w:val="none"/>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86"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rPr>
        <w:t>坚持以习近平新时代中国特色社会主义思想为指导，深入贯彻党的二十大和二十届历次全会精神，</w:t>
      </w:r>
      <w:r>
        <w:rPr>
          <w:rFonts w:hint="eastAsia" w:ascii="仿宋_GB2312" w:hAnsi="仿宋_GB2312" w:eastAsia="仿宋_GB2312" w:cs="仿宋_GB2312"/>
          <w:color w:val="auto"/>
          <w:spacing w:val="6"/>
          <w:sz w:val="30"/>
          <w:szCs w:val="30"/>
          <w:highlight w:val="none"/>
          <w:lang w:eastAsia="zh-CN"/>
        </w:rPr>
        <w:t>全面落实省委八届历次全会精神</w:t>
      </w:r>
      <w:r>
        <w:rPr>
          <w:rFonts w:hint="eastAsia" w:ascii="仿宋_GB2312" w:hAnsi="仿宋_GB2312" w:eastAsia="仿宋_GB2312" w:cs="仿宋_GB2312"/>
          <w:color w:val="auto"/>
          <w:spacing w:val="6"/>
          <w:sz w:val="30"/>
          <w:szCs w:val="30"/>
          <w:highlight w:val="none"/>
          <w:lang w:eastAsia="zh"/>
        </w:rPr>
        <w:t>，</w:t>
      </w:r>
      <w:r>
        <w:rPr>
          <w:rFonts w:hint="eastAsia" w:ascii="仿宋_GB2312" w:hAnsi="仿宋_GB2312" w:eastAsia="仿宋_GB2312" w:cs="仿宋_GB2312"/>
          <w:color w:val="auto"/>
          <w:spacing w:val="6"/>
          <w:sz w:val="30"/>
          <w:szCs w:val="30"/>
          <w:highlight w:val="none"/>
        </w:rPr>
        <w:t>坚持以人民健康为中心，</w:t>
      </w:r>
      <w:r>
        <w:rPr>
          <w:rFonts w:hint="eastAsia" w:ascii="仿宋_GB2312" w:hAnsi="仿宋_GB2312" w:eastAsia="仿宋_GB2312" w:cs="仿宋_GB2312"/>
          <w:color w:val="auto"/>
          <w:spacing w:val="6"/>
          <w:sz w:val="30"/>
          <w:szCs w:val="30"/>
          <w:highlight w:val="none"/>
          <w:lang w:eastAsia="zh-CN"/>
        </w:rPr>
        <w:t>以推动高质量发展为主题</w:t>
      </w:r>
      <w:r>
        <w:rPr>
          <w:rFonts w:hint="eastAsia" w:ascii="仿宋_GB2312" w:hAnsi="仿宋_GB2312" w:eastAsia="仿宋_GB2312" w:cs="仿宋_GB2312"/>
          <w:color w:val="auto"/>
          <w:spacing w:val="6"/>
          <w:sz w:val="30"/>
          <w:szCs w:val="30"/>
          <w:highlight w:val="none"/>
        </w:rPr>
        <w:t>，以改革创新为动力</w:t>
      </w:r>
      <w:r>
        <w:rPr>
          <w:rFonts w:hint="eastAsia" w:ascii="仿宋_GB2312" w:hAnsi="仿宋_GB2312" w:eastAsia="仿宋_GB2312" w:cs="仿宋_GB2312"/>
          <w:color w:val="auto"/>
          <w:spacing w:val="6"/>
          <w:sz w:val="30"/>
          <w:szCs w:val="30"/>
          <w:highlight w:val="none"/>
          <w:lang w:eastAsia="zh-CN"/>
        </w:rPr>
        <w:t>，深入</w:t>
      </w:r>
      <w:r>
        <w:rPr>
          <w:rFonts w:hint="eastAsia" w:ascii="仿宋_GB2312" w:hAnsi="仿宋_GB2312" w:eastAsia="仿宋_GB2312" w:cs="仿宋_GB2312"/>
          <w:color w:val="auto"/>
          <w:spacing w:val="6"/>
          <w:sz w:val="30"/>
          <w:szCs w:val="30"/>
          <w:highlight w:val="none"/>
        </w:rPr>
        <w:t>推进多层次医疗保障体系和长期护理保险制度建设，统筹优化参保</w:t>
      </w:r>
      <w:r>
        <w:rPr>
          <w:rFonts w:hint="eastAsia" w:ascii="仿宋_GB2312" w:hAnsi="仿宋_GB2312" w:eastAsia="仿宋_GB2312" w:cs="仿宋_GB2312"/>
          <w:color w:val="auto"/>
          <w:spacing w:val="6"/>
          <w:sz w:val="30"/>
          <w:szCs w:val="30"/>
          <w:highlight w:val="none"/>
          <w:lang w:eastAsia="zh-CN"/>
        </w:rPr>
        <w:t>扩面</w:t>
      </w:r>
      <w:r>
        <w:rPr>
          <w:rFonts w:hint="eastAsia" w:ascii="仿宋_GB2312" w:hAnsi="仿宋_GB2312" w:eastAsia="仿宋_GB2312" w:cs="仿宋_GB2312"/>
          <w:color w:val="auto"/>
          <w:spacing w:val="6"/>
          <w:sz w:val="30"/>
          <w:szCs w:val="30"/>
          <w:highlight w:val="none"/>
        </w:rPr>
        <w:t>、待遇保障、基金</w:t>
      </w:r>
      <w:r>
        <w:rPr>
          <w:rFonts w:hint="eastAsia" w:ascii="仿宋_GB2312" w:hAnsi="仿宋_GB2312" w:eastAsia="仿宋_GB2312" w:cs="仿宋_GB2312"/>
          <w:color w:val="auto"/>
          <w:spacing w:val="6"/>
          <w:sz w:val="30"/>
          <w:szCs w:val="30"/>
          <w:highlight w:val="none"/>
          <w:lang w:eastAsia="zh-CN"/>
        </w:rPr>
        <w:t>运行及</w:t>
      </w:r>
      <w:r>
        <w:rPr>
          <w:rFonts w:hint="eastAsia" w:ascii="仿宋_GB2312" w:hAnsi="仿宋_GB2312" w:eastAsia="仿宋_GB2312" w:cs="仿宋_GB2312"/>
          <w:color w:val="auto"/>
          <w:spacing w:val="6"/>
          <w:sz w:val="30"/>
          <w:szCs w:val="30"/>
          <w:highlight w:val="none"/>
        </w:rPr>
        <w:t>监管、医保支付、经办服务等关键机制，充分发挥医保</w:t>
      </w:r>
      <w:r>
        <w:rPr>
          <w:rFonts w:hint="eastAsia" w:ascii="仿宋_GB2312" w:hAnsi="仿宋_GB2312" w:eastAsia="仿宋_GB2312" w:cs="仿宋_GB2312"/>
          <w:color w:val="auto"/>
          <w:spacing w:val="6"/>
          <w:sz w:val="30"/>
          <w:szCs w:val="30"/>
          <w:highlight w:val="none"/>
          <w:lang w:eastAsia="zh-CN"/>
        </w:rPr>
        <w:t>基金</w:t>
      </w:r>
      <w:r>
        <w:rPr>
          <w:rFonts w:hint="eastAsia" w:ascii="仿宋_GB2312" w:hAnsi="仿宋_GB2312" w:eastAsia="仿宋_GB2312" w:cs="仿宋_GB2312"/>
          <w:color w:val="auto"/>
          <w:spacing w:val="6"/>
          <w:sz w:val="30"/>
          <w:szCs w:val="30"/>
          <w:highlight w:val="none"/>
        </w:rPr>
        <w:t>战略</w:t>
      </w:r>
      <w:r>
        <w:rPr>
          <w:rFonts w:hint="eastAsia" w:ascii="仿宋_GB2312" w:hAnsi="仿宋_GB2312" w:eastAsia="仿宋_GB2312" w:cs="仿宋_GB2312"/>
          <w:color w:val="auto"/>
          <w:spacing w:val="6"/>
          <w:sz w:val="30"/>
          <w:szCs w:val="30"/>
          <w:highlight w:val="none"/>
          <w:lang w:eastAsia="zh-CN"/>
        </w:rPr>
        <w:t>性</w:t>
      </w:r>
      <w:r>
        <w:rPr>
          <w:rFonts w:hint="eastAsia" w:ascii="仿宋_GB2312" w:hAnsi="仿宋_GB2312" w:eastAsia="仿宋_GB2312" w:cs="仿宋_GB2312"/>
          <w:color w:val="auto"/>
          <w:spacing w:val="6"/>
          <w:sz w:val="30"/>
          <w:szCs w:val="30"/>
          <w:highlight w:val="none"/>
        </w:rPr>
        <w:t>购买作用，</w:t>
      </w:r>
      <w:r>
        <w:rPr>
          <w:rFonts w:hint="eastAsia" w:ascii="仿宋_GB2312" w:hAnsi="仿宋_GB2312" w:eastAsia="仿宋_GB2312" w:cs="仿宋_GB2312"/>
          <w:color w:val="auto"/>
          <w:spacing w:val="6"/>
          <w:sz w:val="30"/>
          <w:szCs w:val="30"/>
          <w:highlight w:val="none"/>
          <w:lang w:eastAsia="zh-CN"/>
        </w:rPr>
        <w:t>推进医疗保障和医药服务高质量协同发展，兜牢医疗保障民生底线，助力</w:t>
      </w:r>
      <w:r>
        <w:rPr>
          <w:rFonts w:hint="eastAsia" w:ascii="仿宋_GB2312" w:hAnsi="仿宋_GB2312" w:eastAsia="仿宋_GB2312" w:cs="仿宋_GB2312"/>
          <w:color w:val="auto"/>
          <w:spacing w:val="6"/>
          <w:sz w:val="30"/>
          <w:szCs w:val="30"/>
          <w:highlight w:val="none"/>
        </w:rPr>
        <w:t>健康海南和</w:t>
      </w:r>
      <w:r>
        <w:rPr>
          <w:rFonts w:hint="eastAsia" w:ascii="仿宋_GB2312" w:hAnsi="仿宋_GB2312" w:eastAsia="仿宋_GB2312" w:cs="仿宋_GB2312"/>
          <w:color w:val="auto"/>
          <w:spacing w:val="6"/>
          <w:sz w:val="30"/>
          <w:szCs w:val="30"/>
          <w:highlight w:val="none"/>
          <w:lang w:eastAsia="zh-CN"/>
        </w:rPr>
        <w:t>高水平</w:t>
      </w:r>
      <w:r>
        <w:rPr>
          <w:rFonts w:hint="eastAsia" w:ascii="仿宋_GB2312" w:hAnsi="仿宋_GB2312" w:eastAsia="仿宋_GB2312" w:cs="仿宋_GB2312"/>
          <w:color w:val="auto"/>
          <w:spacing w:val="6"/>
          <w:sz w:val="30"/>
          <w:szCs w:val="30"/>
          <w:highlight w:val="none"/>
        </w:rPr>
        <w:t>国际健康岛建设，不断满足人民群众日益增长的多元化医疗保障需求。</w:t>
      </w:r>
    </w:p>
    <w:p>
      <w:pPr>
        <w:keepNext w:val="0"/>
        <w:keepLines w:val="0"/>
        <w:pageBreakBefore w:val="0"/>
        <w:widowControl w:val="0"/>
        <w:kinsoku/>
        <w:wordWrap/>
        <w:overflowPunct w:val="0"/>
        <w:topLinePunct w:val="0"/>
        <w:autoSpaceDE/>
        <w:autoSpaceDN/>
        <w:bidi w:val="0"/>
        <w:adjustRightInd w:val="0"/>
        <w:snapToGrid w:val="0"/>
        <w:spacing w:line="586" w:lineRule="exact"/>
        <w:ind w:firstLine="624" w:firstLineChars="200"/>
        <w:jc w:val="both"/>
        <w:textAlignment w:val="auto"/>
        <w:outlineLvl w:val="9"/>
        <w:rPr>
          <w:rFonts w:hint="eastAsia" w:ascii="楷体_GB2312" w:hAnsi="楷体_GB2312" w:eastAsia="楷体_GB2312" w:cs="楷体_GB2312"/>
          <w:color w:val="auto"/>
          <w:spacing w:val="6"/>
          <w:sz w:val="30"/>
          <w:szCs w:val="30"/>
          <w:highlight w:val="none"/>
          <w:lang w:val="en-US" w:eastAsia="zh-CN"/>
        </w:rPr>
      </w:pPr>
      <w:bookmarkStart w:id="95" w:name="_Toc27775"/>
      <w:bookmarkStart w:id="96" w:name="_Toc24330"/>
      <w:bookmarkStart w:id="97" w:name="_Toc28875"/>
      <w:bookmarkStart w:id="98" w:name="_Toc4076"/>
      <w:bookmarkStart w:id="99" w:name="_Toc15414"/>
      <w:bookmarkStart w:id="100" w:name="_Toc7561"/>
      <w:bookmarkStart w:id="101" w:name="_Toc20333"/>
      <w:bookmarkStart w:id="102" w:name="_Toc32427"/>
      <w:bookmarkStart w:id="103" w:name="_Toc25872"/>
      <w:bookmarkStart w:id="104" w:name="_Toc28856"/>
      <w:bookmarkStart w:id="105" w:name="_Toc31355"/>
      <w:bookmarkStart w:id="106" w:name="_Toc14076"/>
      <w:bookmarkStart w:id="107" w:name="_Toc1885"/>
      <w:bookmarkStart w:id="108" w:name="_Toc14184"/>
      <w:bookmarkStart w:id="109" w:name="_Toc6237"/>
      <w:bookmarkStart w:id="110" w:name="_Toc4074"/>
      <w:bookmarkStart w:id="111" w:name="_Toc17649"/>
      <w:bookmarkStart w:id="112" w:name="_Toc31568"/>
      <w:bookmarkStart w:id="113" w:name="_Toc9086"/>
      <w:bookmarkStart w:id="114" w:name="_Toc11572"/>
      <w:bookmarkStart w:id="115" w:name="_Toc9812"/>
      <w:bookmarkStart w:id="116" w:name="_Toc23388"/>
      <w:bookmarkStart w:id="117" w:name="_Toc13367"/>
      <w:bookmarkStart w:id="118" w:name="_Toc10760"/>
      <w:bookmarkStart w:id="119" w:name="_Toc5146"/>
      <w:bookmarkStart w:id="120" w:name="_Toc11055"/>
      <w:bookmarkStart w:id="121" w:name="_Toc23163"/>
      <w:bookmarkStart w:id="122" w:name="_Toc4723"/>
      <w:bookmarkStart w:id="123" w:name="_Toc447"/>
      <w:bookmarkStart w:id="124" w:name="_Toc29928"/>
      <w:bookmarkStart w:id="125" w:name="_Toc10964"/>
      <w:bookmarkStart w:id="126" w:name="_Toc17195"/>
      <w:bookmarkStart w:id="127" w:name="_Toc8071"/>
      <w:bookmarkStart w:id="128" w:name="_Toc11163"/>
      <w:bookmarkStart w:id="129" w:name="_Toc23793"/>
      <w:bookmarkStart w:id="130" w:name="_Toc1211611271"/>
      <w:bookmarkStart w:id="131" w:name="_Toc30284"/>
      <w:bookmarkStart w:id="132" w:name="_Toc1526181669"/>
      <w:bookmarkStart w:id="133" w:name="_Toc4199"/>
      <w:bookmarkStart w:id="134" w:name="_Toc3432"/>
      <w:bookmarkStart w:id="135" w:name="_Toc14534"/>
      <w:bookmarkStart w:id="136" w:name="_Toc6440"/>
      <w:bookmarkStart w:id="137" w:name="_Toc7529"/>
      <w:bookmarkStart w:id="138" w:name="_Toc9323"/>
      <w:bookmarkStart w:id="139" w:name="_Toc28323"/>
      <w:bookmarkStart w:id="140" w:name="_Toc22971"/>
      <w:bookmarkStart w:id="141" w:name="_Toc15820"/>
      <w:bookmarkStart w:id="142" w:name="_Toc11835"/>
      <w:bookmarkStart w:id="143" w:name="_Toc12162"/>
      <w:bookmarkStart w:id="144" w:name="_Toc29415"/>
      <w:bookmarkStart w:id="145" w:name="_Toc15485"/>
      <w:r>
        <w:rPr>
          <w:rFonts w:hint="eastAsia" w:ascii="楷体_GB2312" w:hAnsi="楷体_GB2312" w:eastAsia="楷体_GB2312" w:cs="楷体_GB2312"/>
          <w:color w:val="auto"/>
          <w:spacing w:val="6"/>
          <w:sz w:val="30"/>
          <w:szCs w:val="30"/>
          <w:highlight w:val="none"/>
          <w:lang w:val="en-US" w:eastAsia="zh-CN"/>
        </w:rPr>
        <w:t>（二）</w:t>
      </w:r>
      <w:r>
        <w:rPr>
          <w:rFonts w:hint="eastAsia" w:ascii="楷体_GB2312" w:hAnsi="楷体_GB2312" w:eastAsia="楷体_GB2312" w:cs="楷体_GB2312"/>
          <w:color w:val="auto"/>
          <w:spacing w:val="6"/>
          <w:sz w:val="30"/>
          <w:szCs w:val="30"/>
          <w:highlight w:val="none"/>
        </w:rPr>
        <w:t>基本原则</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Fonts w:hint="eastAsia" w:ascii="楷体_GB2312" w:hAnsi="楷体_GB2312" w:eastAsia="楷体_GB2312" w:cs="楷体_GB2312"/>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line="586" w:lineRule="exact"/>
        <w:ind w:firstLine="626"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b/>
          <w:bCs/>
          <w:color w:val="auto"/>
          <w:spacing w:val="6"/>
          <w:sz w:val="30"/>
          <w:szCs w:val="30"/>
          <w:highlight w:val="none"/>
          <w:lang w:val="en-US" w:eastAsia="zh-CN"/>
        </w:rPr>
        <w:t>坚持党的领导。</w:t>
      </w:r>
      <w:r>
        <w:rPr>
          <w:rFonts w:hint="eastAsia" w:ascii="仿宋_GB2312" w:hAnsi="仿宋_GB2312" w:eastAsia="仿宋_GB2312" w:cs="仿宋_GB2312"/>
          <w:color w:val="auto"/>
          <w:spacing w:val="6"/>
          <w:sz w:val="30"/>
          <w:szCs w:val="30"/>
          <w:highlight w:val="none"/>
          <w:lang w:val="en-US" w:eastAsia="zh-CN"/>
        </w:rPr>
        <w:t>把党的领导贯穿医保工作全过程，确保制度统一性和政策规范性，为医保事业高质量发展提供根本保证。</w:t>
      </w:r>
    </w:p>
    <w:p>
      <w:pPr>
        <w:keepNext w:val="0"/>
        <w:keepLines w:val="0"/>
        <w:pageBreakBefore w:val="0"/>
        <w:widowControl w:val="0"/>
        <w:kinsoku/>
        <w:wordWrap/>
        <w:overflowPunct w:val="0"/>
        <w:topLinePunct w:val="0"/>
        <w:autoSpaceDE/>
        <w:autoSpaceDN/>
        <w:bidi w:val="0"/>
        <w:adjustRightInd w:val="0"/>
        <w:snapToGrid w:val="0"/>
        <w:spacing w:line="586" w:lineRule="exact"/>
        <w:ind w:firstLine="626"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b/>
          <w:bCs/>
          <w:color w:val="auto"/>
          <w:spacing w:val="6"/>
          <w:sz w:val="30"/>
          <w:szCs w:val="30"/>
          <w:highlight w:val="none"/>
          <w:lang w:val="en-US" w:eastAsia="zh-CN"/>
        </w:rPr>
        <w:t>坚持人民至上。</w:t>
      </w:r>
      <w:r>
        <w:rPr>
          <w:rFonts w:hint="eastAsia" w:ascii="仿宋_GB2312" w:hAnsi="仿宋_GB2312" w:eastAsia="仿宋_GB2312" w:cs="仿宋_GB2312"/>
          <w:color w:val="auto"/>
          <w:spacing w:val="6"/>
          <w:sz w:val="30"/>
          <w:szCs w:val="30"/>
          <w:highlight w:val="none"/>
        </w:rPr>
        <w:t>立足群众健康需求与</w:t>
      </w:r>
      <w:r>
        <w:rPr>
          <w:rFonts w:hint="eastAsia" w:ascii="仿宋_GB2312" w:hAnsi="仿宋_GB2312" w:eastAsia="仿宋_GB2312" w:cs="仿宋_GB2312"/>
          <w:color w:val="auto"/>
          <w:spacing w:val="6"/>
          <w:sz w:val="30"/>
          <w:szCs w:val="30"/>
          <w:highlight w:val="none"/>
          <w:lang w:eastAsia="zh-CN"/>
        </w:rPr>
        <w:t>自由贸易港</w:t>
      </w:r>
      <w:r>
        <w:rPr>
          <w:rFonts w:hint="eastAsia" w:ascii="仿宋_GB2312" w:hAnsi="仿宋_GB2312" w:eastAsia="仿宋_GB2312" w:cs="仿宋_GB2312"/>
          <w:color w:val="auto"/>
          <w:spacing w:val="6"/>
          <w:sz w:val="30"/>
          <w:szCs w:val="30"/>
          <w:highlight w:val="none"/>
        </w:rPr>
        <w:t>发展实际，优化制度设计，完善政策体系，</w:t>
      </w:r>
      <w:r>
        <w:rPr>
          <w:rFonts w:hint="eastAsia" w:ascii="仿宋_GB2312" w:hAnsi="仿宋_GB2312" w:eastAsia="仿宋_GB2312" w:cs="仿宋_GB2312"/>
          <w:color w:val="auto"/>
          <w:spacing w:val="6"/>
          <w:sz w:val="30"/>
          <w:szCs w:val="30"/>
          <w:highlight w:val="none"/>
          <w:lang w:eastAsia="zh-CN"/>
        </w:rPr>
        <w:t>努力做到应保尽保、覆盖全民、筑牢底线，</w:t>
      </w:r>
      <w:r>
        <w:rPr>
          <w:rFonts w:hint="eastAsia" w:ascii="仿宋_GB2312" w:hAnsi="仿宋_GB2312" w:eastAsia="仿宋_GB2312" w:cs="仿宋_GB2312"/>
          <w:color w:val="auto"/>
          <w:spacing w:val="6"/>
          <w:sz w:val="30"/>
          <w:szCs w:val="30"/>
          <w:highlight w:val="none"/>
        </w:rPr>
        <w:t>让改革发展</w:t>
      </w:r>
      <w:r>
        <w:rPr>
          <w:rFonts w:hint="eastAsia" w:ascii="仿宋_GB2312" w:hAnsi="仿宋_GB2312" w:eastAsia="仿宋_GB2312" w:cs="仿宋_GB2312"/>
          <w:color w:val="auto"/>
          <w:spacing w:val="6"/>
          <w:sz w:val="30"/>
          <w:szCs w:val="30"/>
          <w:highlight w:val="none"/>
          <w:lang w:eastAsia="zh-CN"/>
        </w:rPr>
        <w:t>成果更多更公平惠及全体人民</w:t>
      </w:r>
      <w:r>
        <w:rPr>
          <w:rFonts w:hint="eastAsia" w:ascii="仿宋_GB2312" w:hAnsi="仿宋_GB2312" w:eastAsia="仿宋_GB2312" w:cs="仿宋_GB2312"/>
          <w:color w:val="auto"/>
          <w:spacing w:val="6"/>
          <w:sz w:val="30"/>
          <w:szCs w:val="30"/>
          <w:highlight w:val="none"/>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6"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b/>
          <w:bCs/>
          <w:color w:val="auto"/>
          <w:spacing w:val="6"/>
          <w:sz w:val="30"/>
          <w:szCs w:val="30"/>
          <w:highlight w:val="none"/>
          <w:shd w:val="clear" w:color="auto" w:fill="auto"/>
          <w:lang w:val="en-US" w:eastAsia="zh-CN"/>
        </w:rPr>
        <w:t>坚持科学定位</w:t>
      </w:r>
      <w:r>
        <w:rPr>
          <w:rFonts w:hint="eastAsia" w:ascii="仿宋_GB2312" w:hAnsi="仿宋_GB2312" w:eastAsia="仿宋_GB2312" w:cs="仿宋_GB2312"/>
          <w:b/>
          <w:bCs/>
          <w:color w:val="auto"/>
          <w:spacing w:val="6"/>
          <w:sz w:val="30"/>
          <w:szCs w:val="30"/>
          <w:highlight w:val="none"/>
          <w:shd w:val="clear" w:color="auto" w:fill="auto"/>
          <w:lang w:eastAsia="zh-CN"/>
        </w:rPr>
        <w:t>。</w:t>
      </w:r>
      <w:r>
        <w:rPr>
          <w:rFonts w:hint="eastAsia" w:ascii="仿宋_GB2312" w:hAnsi="仿宋_GB2312" w:eastAsia="仿宋_GB2312" w:cs="仿宋_GB2312"/>
          <w:color w:val="auto"/>
          <w:spacing w:val="6"/>
          <w:sz w:val="30"/>
          <w:szCs w:val="30"/>
          <w:highlight w:val="none"/>
          <w:lang w:val="en-US" w:eastAsia="zh-CN"/>
        </w:rPr>
        <w:t>坚守“保基本”功能定位，尽力而为、量力而行，科学界定筹资水平和保障边界，以收定支、收支平衡，守牢基金安全底线，确保制度稳健可持续。</w:t>
      </w:r>
    </w:p>
    <w:p>
      <w:pPr>
        <w:keepNext w:val="0"/>
        <w:keepLines w:val="0"/>
        <w:pageBreakBefore w:val="0"/>
        <w:widowControl w:val="0"/>
        <w:suppressLineNumbers w:val="0"/>
        <w:kinsoku/>
        <w:wordWrap/>
        <w:overflowPunct w:val="0"/>
        <w:topLinePunct w:val="0"/>
        <w:autoSpaceDE/>
        <w:autoSpaceDN/>
        <w:bidi w:val="0"/>
        <w:adjustRightInd w:val="0"/>
        <w:snapToGrid w:val="0"/>
        <w:spacing w:line="578" w:lineRule="exact"/>
        <w:ind w:firstLine="626"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b/>
          <w:bCs/>
          <w:color w:val="auto"/>
          <w:spacing w:val="6"/>
          <w:sz w:val="30"/>
          <w:szCs w:val="30"/>
          <w:highlight w:val="none"/>
          <w:shd w:val="clear" w:color="auto" w:fill="auto"/>
          <w:lang w:val="en-US" w:eastAsia="zh-CN"/>
        </w:rPr>
        <w:t>坚持精细管理</w:t>
      </w:r>
      <w:r>
        <w:rPr>
          <w:rFonts w:hint="eastAsia" w:ascii="仿宋_GB2312" w:hAnsi="仿宋_GB2312" w:eastAsia="仿宋_GB2312" w:cs="仿宋_GB2312"/>
          <w:b/>
          <w:bCs/>
          <w:color w:val="auto"/>
          <w:spacing w:val="6"/>
          <w:sz w:val="30"/>
          <w:szCs w:val="30"/>
          <w:highlight w:val="none"/>
          <w:shd w:val="clear" w:color="auto" w:fill="auto"/>
          <w:lang w:eastAsia="zh-CN"/>
        </w:rPr>
        <w:t>。</w:t>
      </w:r>
      <w:r>
        <w:rPr>
          <w:rFonts w:hint="eastAsia" w:ascii="仿宋_GB2312" w:hAnsi="仿宋_GB2312" w:eastAsia="仿宋_GB2312" w:cs="仿宋_GB2312"/>
          <w:color w:val="auto"/>
          <w:spacing w:val="6"/>
          <w:sz w:val="30"/>
          <w:szCs w:val="30"/>
          <w:highlight w:val="none"/>
          <w:lang w:val="en-US" w:eastAsia="zh-CN"/>
        </w:rPr>
        <w:t>持续健全覆盖全民、城乡一体、内外联通的经办服务体系，提升医保公共服务的覆盖面、可及性和便捷度。</w:t>
      </w:r>
    </w:p>
    <w:p>
      <w:pPr>
        <w:keepNext w:val="0"/>
        <w:keepLines w:val="0"/>
        <w:pageBreakBefore w:val="0"/>
        <w:widowControl w:val="0"/>
        <w:suppressLineNumbers w:val="0"/>
        <w:kinsoku/>
        <w:wordWrap/>
        <w:overflowPunct w:val="0"/>
        <w:topLinePunct w:val="0"/>
        <w:autoSpaceDE/>
        <w:autoSpaceDN/>
        <w:bidi w:val="0"/>
        <w:adjustRightInd w:val="0"/>
        <w:snapToGrid w:val="0"/>
        <w:spacing w:beforeAutospacing="0" w:afterAutospacing="0" w:line="578" w:lineRule="exact"/>
        <w:ind w:left="0" w:right="0" w:firstLine="626"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b/>
          <w:bCs/>
          <w:color w:val="auto"/>
          <w:spacing w:val="6"/>
          <w:sz w:val="30"/>
          <w:szCs w:val="30"/>
          <w:highlight w:val="none"/>
          <w:shd w:val="clear" w:color="auto" w:fill="auto"/>
          <w:lang w:val="en-US" w:eastAsia="zh-CN"/>
        </w:rPr>
        <w:t>坚持</w:t>
      </w:r>
      <w:r>
        <w:rPr>
          <w:rFonts w:hint="eastAsia" w:ascii="仿宋_GB2312" w:hAnsi="仿宋_GB2312" w:eastAsia="仿宋_GB2312" w:cs="仿宋_GB2312"/>
          <w:b/>
          <w:bCs/>
          <w:color w:val="auto"/>
          <w:spacing w:val="6"/>
          <w:sz w:val="30"/>
          <w:szCs w:val="30"/>
          <w:highlight w:val="none"/>
          <w:shd w:val="clear" w:color="auto" w:fill="auto"/>
        </w:rPr>
        <w:t>创新</w:t>
      </w:r>
      <w:r>
        <w:rPr>
          <w:rFonts w:hint="eastAsia" w:ascii="仿宋_GB2312" w:hAnsi="仿宋_GB2312" w:eastAsia="仿宋_GB2312" w:cs="仿宋_GB2312"/>
          <w:b/>
          <w:bCs/>
          <w:color w:val="auto"/>
          <w:spacing w:val="6"/>
          <w:sz w:val="30"/>
          <w:szCs w:val="30"/>
          <w:highlight w:val="none"/>
          <w:shd w:val="clear" w:color="auto" w:fill="auto"/>
          <w:lang w:val="en-US" w:eastAsia="zh-CN"/>
        </w:rPr>
        <w:t>引领</w:t>
      </w:r>
      <w:r>
        <w:rPr>
          <w:rFonts w:hint="eastAsia" w:ascii="仿宋_GB2312" w:hAnsi="仿宋_GB2312" w:eastAsia="仿宋_GB2312" w:cs="仿宋_GB2312"/>
          <w:b/>
          <w:bCs/>
          <w:color w:val="auto"/>
          <w:spacing w:val="6"/>
          <w:sz w:val="30"/>
          <w:szCs w:val="30"/>
          <w:highlight w:val="none"/>
          <w:shd w:val="clear" w:color="auto" w:fill="auto"/>
          <w:lang w:eastAsia="zh-CN"/>
        </w:rPr>
        <w:t>。</w:t>
      </w:r>
      <w:r>
        <w:rPr>
          <w:rFonts w:hint="eastAsia" w:ascii="仿宋_GB2312" w:hAnsi="仿宋_GB2312" w:eastAsia="仿宋_GB2312" w:cs="仿宋_GB2312"/>
          <w:color w:val="auto"/>
          <w:spacing w:val="6"/>
          <w:sz w:val="30"/>
          <w:szCs w:val="30"/>
          <w:highlight w:val="none"/>
          <w:lang w:val="en-US" w:eastAsia="zh-CN"/>
        </w:rPr>
        <w:t>深化医保标准化、数智化建设，拓展人工智能应用场景，推动医药全链条数据共享，发挥真实世界数据综合价值评价作用，夯实科学治理根基。</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6"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b/>
          <w:bCs/>
          <w:color w:val="auto"/>
          <w:spacing w:val="6"/>
          <w:sz w:val="30"/>
          <w:szCs w:val="30"/>
          <w:highlight w:val="none"/>
          <w:shd w:val="clear" w:color="auto" w:fill="auto"/>
          <w:lang w:val="en-US" w:eastAsia="zh-CN"/>
        </w:rPr>
        <w:t>坚持协同</w:t>
      </w:r>
      <w:r>
        <w:rPr>
          <w:rFonts w:hint="eastAsia" w:ascii="仿宋_GB2312" w:hAnsi="仿宋_GB2312" w:eastAsia="仿宋_GB2312" w:cs="仿宋_GB2312"/>
          <w:b/>
          <w:bCs/>
          <w:color w:val="auto"/>
          <w:spacing w:val="6"/>
          <w:sz w:val="30"/>
          <w:szCs w:val="30"/>
          <w:highlight w:val="none"/>
          <w:shd w:val="clear" w:color="auto" w:fill="auto"/>
        </w:rPr>
        <w:t>改革</w:t>
      </w:r>
      <w:r>
        <w:rPr>
          <w:rFonts w:hint="eastAsia" w:ascii="仿宋_GB2312" w:hAnsi="仿宋_GB2312" w:eastAsia="仿宋_GB2312" w:cs="仿宋_GB2312"/>
          <w:b/>
          <w:bCs/>
          <w:color w:val="auto"/>
          <w:spacing w:val="6"/>
          <w:sz w:val="30"/>
          <w:szCs w:val="30"/>
          <w:highlight w:val="none"/>
          <w:shd w:val="clear" w:color="auto" w:fill="auto"/>
          <w:lang w:eastAsia="zh-CN"/>
        </w:rPr>
        <w:t>。</w:t>
      </w:r>
      <w:r>
        <w:rPr>
          <w:rFonts w:hint="eastAsia" w:ascii="仿宋_GB2312" w:hAnsi="仿宋_GB2312" w:eastAsia="仿宋_GB2312" w:cs="仿宋_GB2312"/>
          <w:color w:val="auto"/>
          <w:spacing w:val="6"/>
          <w:sz w:val="30"/>
          <w:szCs w:val="30"/>
          <w:highlight w:val="none"/>
          <w:lang w:val="en-US" w:eastAsia="zh-CN"/>
        </w:rPr>
        <w:t>统筹推进医保支付改革、药械集采、价格调整、</w:t>
      </w:r>
      <w:r>
        <w:rPr>
          <w:rFonts w:hint="eastAsia" w:ascii="仿宋_GB2312" w:hAnsi="仿宋_GB2312" w:eastAsia="仿宋_GB2312" w:cs="仿宋_GB2312"/>
          <w:color w:val="auto"/>
          <w:spacing w:val="6"/>
          <w:sz w:val="30"/>
          <w:szCs w:val="30"/>
          <w:highlight w:val="none"/>
          <w:lang w:eastAsia="zh-CN"/>
        </w:rPr>
        <w:t>经办服务转型升级</w:t>
      </w:r>
      <w:r>
        <w:rPr>
          <w:rFonts w:hint="eastAsia" w:ascii="仿宋_GB2312" w:hAnsi="仿宋_GB2312" w:eastAsia="仿宋_GB2312" w:cs="仿宋_GB2312"/>
          <w:color w:val="auto"/>
          <w:spacing w:val="6"/>
          <w:sz w:val="30"/>
          <w:szCs w:val="30"/>
          <w:highlight w:val="none"/>
          <w:lang w:val="en-US" w:eastAsia="zh-CN"/>
        </w:rPr>
        <w:t>等重点任务，强化医保与分级诊疗、生育支持、为老服务、乡村振兴等政策联动，提升基金使用综合效能。</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楷体_GB2312" w:hAnsi="楷体_GB2312" w:eastAsia="楷体_GB2312" w:cs="楷体_GB2312"/>
          <w:color w:val="auto"/>
          <w:spacing w:val="6"/>
          <w:sz w:val="30"/>
          <w:szCs w:val="30"/>
          <w:highlight w:val="none"/>
          <w:lang w:eastAsia="zh-CN"/>
        </w:rPr>
      </w:pPr>
      <w:bookmarkStart w:id="146" w:name="_Toc15093"/>
      <w:bookmarkStart w:id="147" w:name="_Toc23771"/>
      <w:bookmarkStart w:id="148" w:name="_Toc10739"/>
      <w:bookmarkStart w:id="149" w:name="_Toc19486"/>
      <w:bookmarkStart w:id="150" w:name="_Toc2436"/>
      <w:bookmarkStart w:id="151" w:name="_Toc6211"/>
      <w:bookmarkStart w:id="152" w:name="_Toc18475"/>
      <w:bookmarkStart w:id="153" w:name="_Toc24141"/>
      <w:bookmarkStart w:id="154" w:name="_Toc30903"/>
      <w:bookmarkStart w:id="155" w:name="_Toc18527"/>
      <w:bookmarkStart w:id="156" w:name="_Toc15480"/>
      <w:bookmarkStart w:id="157" w:name="_Toc29293"/>
      <w:bookmarkStart w:id="158" w:name="_Toc543284065"/>
      <w:bookmarkStart w:id="159" w:name="_Toc29115"/>
      <w:bookmarkStart w:id="160" w:name="_Toc5628"/>
      <w:bookmarkStart w:id="161" w:name="_Toc166"/>
      <w:bookmarkStart w:id="162" w:name="_Toc4381"/>
      <w:bookmarkStart w:id="163" w:name="_Toc959"/>
      <w:bookmarkStart w:id="164" w:name="_Toc25124"/>
      <w:bookmarkStart w:id="165" w:name="_Toc17318"/>
      <w:bookmarkStart w:id="166" w:name="_Toc26143"/>
      <w:bookmarkStart w:id="167" w:name="_Toc26368"/>
      <w:bookmarkStart w:id="168" w:name="_Toc3747"/>
      <w:bookmarkStart w:id="169" w:name="_Toc10925"/>
      <w:bookmarkStart w:id="170" w:name="_Toc9349"/>
      <w:bookmarkStart w:id="171" w:name="_Toc372"/>
      <w:bookmarkStart w:id="172" w:name="_Toc22252"/>
      <w:bookmarkStart w:id="173" w:name="_Toc26119"/>
      <w:bookmarkStart w:id="174" w:name="_Toc22277"/>
      <w:bookmarkStart w:id="175" w:name="_Toc15567"/>
      <w:bookmarkStart w:id="176" w:name="_Toc12350"/>
      <w:bookmarkStart w:id="177" w:name="_Toc4300"/>
      <w:bookmarkStart w:id="178" w:name="_Toc6723"/>
      <w:bookmarkStart w:id="179" w:name="_Toc17786"/>
      <w:bookmarkStart w:id="180" w:name="_Toc8051"/>
      <w:bookmarkStart w:id="181" w:name="_Toc32649"/>
      <w:bookmarkStart w:id="182" w:name="_Toc844"/>
      <w:bookmarkStart w:id="183" w:name="_Toc19992"/>
      <w:bookmarkStart w:id="184" w:name="_Toc12490"/>
      <w:bookmarkStart w:id="185" w:name="_Toc7470"/>
      <w:bookmarkStart w:id="186" w:name="_Toc5412"/>
      <w:bookmarkStart w:id="187" w:name="_Toc31476"/>
      <w:bookmarkStart w:id="188" w:name="_Toc4392"/>
      <w:bookmarkStart w:id="189" w:name="_Toc928339545"/>
      <w:bookmarkStart w:id="190" w:name="_Toc17556"/>
      <w:bookmarkStart w:id="191" w:name="_Toc14350"/>
      <w:bookmarkStart w:id="192" w:name="_Toc3186"/>
      <w:bookmarkStart w:id="193" w:name="_Toc21419"/>
      <w:bookmarkStart w:id="194" w:name="_Toc1855"/>
      <w:bookmarkStart w:id="195" w:name="_Toc27181"/>
      <w:bookmarkStart w:id="196" w:name="_Toc22200"/>
      <w:r>
        <w:rPr>
          <w:rFonts w:hint="eastAsia" w:ascii="楷体_GB2312" w:hAnsi="楷体_GB2312" w:eastAsia="楷体_GB2312" w:cs="楷体_GB2312"/>
          <w:color w:val="auto"/>
          <w:spacing w:val="6"/>
          <w:sz w:val="30"/>
          <w:szCs w:val="30"/>
          <w:highlight w:val="none"/>
          <w:lang w:val="en-US" w:eastAsia="zh-CN"/>
        </w:rPr>
        <w:t>（三）</w:t>
      </w:r>
      <w:r>
        <w:rPr>
          <w:rFonts w:hint="eastAsia" w:ascii="楷体_GB2312" w:hAnsi="楷体_GB2312" w:eastAsia="楷体_GB2312" w:cs="楷体_GB2312"/>
          <w:color w:val="auto"/>
          <w:spacing w:val="6"/>
          <w:sz w:val="30"/>
          <w:szCs w:val="30"/>
          <w:highlight w:val="none"/>
        </w:rPr>
        <w:t>发展目标</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Fonts w:hint="eastAsia" w:ascii="楷体_GB2312" w:hAnsi="楷体_GB2312" w:eastAsia="楷体_GB2312" w:cs="楷体_GB2312"/>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rPr>
        <w:t>到2030年，公平</w:t>
      </w:r>
      <w:r>
        <w:rPr>
          <w:rFonts w:hint="eastAsia" w:ascii="仿宋_GB2312" w:hAnsi="仿宋_GB2312" w:eastAsia="仿宋_GB2312" w:cs="仿宋_GB2312"/>
          <w:color w:val="auto"/>
          <w:spacing w:val="6"/>
          <w:sz w:val="30"/>
          <w:szCs w:val="30"/>
          <w:highlight w:val="none"/>
          <w:lang w:eastAsia="zh-CN"/>
        </w:rPr>
        <w:t>医保</w:t>
      </w:r>
      <w:r>
        <w:rPr>
          <w:rFonts w:hint="eastAsia" w:ascii="仿宋_GB2312" w:hAnsi="仿宋_GB2312" w:eastAsia="仿宋_GB2312" w:cs="仿宋_GB2312"/>
          <w:color w:val="auto"/>
          <w:spacing w:val="6"/>
          <w:sz w:val="30"/>
          <w:szCs w:val="30"/>
          <w:highlight w:val="none"/>
        </w:rPr>
        <w:t>、法治</w:t>
      </w:r>
      <w:r>
        <w:rPr>
          <w:rFonts w:hint="eastAsia" w:ascii="仿宋_GB2312" w:hAnsi="仿宋_GB2312" w:eastAsia="仿宋_GB2312" w:cs="仿宋_GB2312"/>
          <w:color w:val="auto"/>
          <w:spacing w:val="6"/>
          <w:sz w:val="30"/>
          <w:szCs w:val="30"/>
          <w:highlight w:val="none"/>
          <w:lang w:eastAsia="zh-CN"/>
        </w:rPr>
        <w:t>医保</w:t>
      </w:r>
      <w:r>
        <w:rPr>
          <w:rFonts w:hint="eastAsia" w:ascii="仿宋_GB2312" w:hAnsi="仿宋_GB2312" w:eastAsia="仿宋_GB2312" w:cs="仿宋_GB2312"/>
          <w:color w:val="auto"/>
          <w:spacing w:val="6"/>
          <w:sz w:val="30"/>
          <w:szCs w:val="30"/>
          <w:highlight w:val="none"/>
        </w:rPr>
        <w:t>、安全</w:t>
      </w:r>
      <w:r>
        <w:rPr>
          <w:rFonts w:hint="eastAsia" w:ascii="仿宋_GB2312" w:hAnsi="仿宋_GB2312" w:eastAsia="仿宋_GB2312" w:cs="仿宋_GB2312"/>
          <w:color w:val="auto"/>
          <w:spacing w:val="6"/>
          <w:sz w:val="30"/>
          <w:szCs w:val="30"/>
          <w:highlight w:val="none"/>
          <w:lang w:eastAsia="zh-CN"/>
        </w:rPr>
        <w:t>医保</w:t>
      </w:r>
      <w:r>
        <w:rPr>
          <w:rFonts w:hint="eastAsia" w:ascii="仿宋_GB2312" w:hAnsi="仿宋_GB2312" w:eastAsia="仿宋_GB2312" w:cs="仿宋_GB2312"/>
          <w:color w:val="auto"/>
          <w:spacing w:val="6"/>
          <w:sz w:val="30"/>
          <w:szCs w:val="30"/>
          <w:highlight w:val="none"/>
        </w:rPr>
        <w:t>、数智</w:t>
      </w:r>
      <w:r>
        <w:rPr>
          <w:rFonts w:hint="eastAsia" w:ascii="仿宋_GB2312" w:hAnsi="仿宋_GB2312" w:eastAsia="仿宋_GB2312" w:cs="仿宋_GB2312"/>
          <w:color w:val="auto"/>
          <w:spacing w:val="6"/>
          <w:sz w:val="30"/>
          <w:szCs w:val="30"/>
          <w:highlight w:val="none"/>
          <w:lang w:eastAsia="zh-CN"/>
        </w:rPr>
        <w:t>医保</w:t>
      </w:r>
      <w:r>
        <w:rPr>
          <w:rFonts w:hint="eastAsia" w:ascii="仿宋_GB2312" w:hAnsi="仿宋_GB2312" w:eastAsia="仿宋_GB2312" w:cs="仿宋_GB2312"/>
          <w:color w:val="auto"/>
          <w:spacing w:val="6"/>
          <w:sz w:val="30"/>
          <w:szCs w:val="30"/>
          <w:highlight w:val="none"/>
        </w:rPr>
        <w:t>、协同</w:t>
      </w:r>
      <w:r>
        <w:rPr>
          <w:rFonts w:hint="eastAsia" w:ascii="仿宋_GB2312" w:hAnsi="仿宋_GB2312" w:eastAsia="仿宋_GB2312" w:cs="仿宋_GB2312"/>
          <w:color w:val="auto"/>
          <w:spacing w:val="6"/>
          <w:sz w:val="30"/>
          <w:szCs w:val="30"/>
          <w:highlight w:val="none"/>
          <w:lang w:eastAsia="zh-CN"/>
        </w:rPr>
        <w:t>医保</w:t>
      </w:r>
      <w:r>
        <w:rPr>
          <w:rFonts w:hint="eastAsia" w:ascii="仿宋_GB2312" w:hAnsi="仿宋_GB2312" w:eastAsia="仿宋_GB2312" w:cs="仿宋_GB2312"/>
          <w:color w:val="auto"/>
          <w:spacing w:val="6"/>
          <w:sz w:val="30"/>
          <w:szCs w:val="30"/>
          <w:highlight w:val="none"/>
        </w:rPr>
        <w:t>、科学</w:t>
      </w:r>
      <w:r>
        <w:rPr>
          <w:rFonts w:hint="eastAsia" w:ascii="仿宋_GB2312" w:hAnsi="仿宋_GB2312" w:eastAsia="仿宋_GB2312" w:cs="仿宋_GB2312"/>
          <w:color w:val="auto"/>
          <w:spacing w:val="6"/>
          <w:sz w:val="30"/>
          <w:szCs w:val="30"/>
          <w:highlight w:val="none"/>
          <w:lang w:eastAsia="zh-CN"/>
        </w:rPr>
        <w:t>医保、效能</w:t>
      </w:r>
      <w:r>
        <w:rPr>
          <w:rFonts w:hint="eastAsia" w:ascii="仿宋_GB2312" w:hAnsi="仿宋_GB2312" w:eastAsia="仿宋_GB2312" w:cs="仿宋_GB2312"/>
          <w:color w:val="auto"/>
          <w:spacing w:val="6"/>
          <w:sz w:val="30"/>
          <w:szCs w:val="30"/>
          <w:highlight w:val="none"/>
        </w:rPr>
        <w:t>医保建设持续深化，与自由贸易港高水平开放形态相适应的多层次医疗保障制度体系更加成熟完善，医保治理体系和治理能力现代化取得阶段性标志性成果。</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eastAsia="zh-CN"/>
        </w:rPr>
      </w:pPr>
      <w:r>
        <w:rPr>
          <w:rFonts w:hint="eastAsia" w:ascii="仿宋_GB2312" w:hAnsi="仿宋_GB2312" w:eastAsia="仿宋_GB2312" w:cs="仿宋_GB2312"/>
          <w:color w:val="auto"/>
          <w:spacing w:val="6"/>
          <w:sz w:val="30"/>
          <w:szCs w:val="30"/>
          <w:highlight w:val="none"/>
          <w:lang w:val="en-US" w:eastAsia="zh-CN"/>
        </w:rPr>
        <w:t>公平医保普惠均衡。医保再分配功能持续强化，筹资与待遇更加科学匹配；医疗救助托底功能显著增强，防范化解因病致贫返贫长效机制健全完善。法治医保规范完善。推动健全医保领域地方性法规及配套制度，行政执法与信用管理深度融合，依法行政能力达到新水平。安全医保持续稳健。基本医保省级统筹成效全面巩固，基金抗风险能力显著增强；智能监管能力显著跃升，</w:t>
      </w:r>
      <w:r>
        <w:rPr>
          <w:rFonts w:hint="eastAsia" w:ascii="仿宋_GB2312" w:hAnsi="仿宋_GB2312" w:eastAsia="仿宋_GB2312" w:cs="仿宋_GB2312"/>
          <w:color w:val="auto"/>
          <w:spacing w:val="6"/>
          <w:sz w:val="30"/>
          <w:szCs w:val="30"/>
          <w:highlight w:val="none"/>
          <w:lang w:eastAsia="zh-CN"/>
        </w:rPr>
        <w:t>医保网络安全、数据安全保障体系更加坚实。</w:t>
      </w:r>
      <w:r>
        <w:rPr>
          <w:rFonts w:hint="eastAsia" w:ascii="仿宋_GB2312" w:hAnsi="仿宋_GB2312" w:eastAsia="仿宋_GB2312" w:cs="仿宋_GB2312"/>
          <w:color w:val="auto"/>
          <w:spacing w:val="6"/>
          <w:sz w:val="30"/>
          <w:szCs w:val="30"/>
          <w:highlight w:val="none"/>
          <w:lang w:val="en-US" w:eastAsia="zh-CN"/>
        </w:rPr>
        <w:t>数智医保便捷高效。</w:t>
      </w:r>
      <w:r>
        <w:rPr>
          <w:rFonts w:hint="eastAsia" w:ascii="仿宋_GB2312" w:hAnsi="仿宋_GB2312" w:eastAsia="仿宋_GB2312" w:cs="仿宋_GB2312"/>
          <w:color w:val="auto"/>
          <w:spacing w:val="6"/>
          <w:sz w:val="30"/>
          <w:szCs w:val="30"/>
          <w:highlight w:val="none"/>
          <w:lang w:eastAsia="zh-CN"/>
        </w:rPr>
        <w:t>全面建成基于大数据、人工智能等技术的智能化医保管理平台，推动智慧医保从“能用”向“好用、智用”跨越。</w:t>
      </w:r>
      <w:r>
        <w:rPr>
          <w:rFonts w:hint="eastAsia" w:ascii="仿宋_GB2312" w:hAnsi="仿宋_GB2312" w:eastAsia="仿宋_GB2312" w:cs="仿宋_GB2312"/>
          <w:color w:val="auto"/>
          <w:spacing w:val="6"/>
          <w:sz w:val="30"/>
          <w:szCs w:val="30"/>
          <w:highlight w:val="none"/>
          <w:lang w:val="en-US" w:eastAsia="zh-CN"/>
        </w:rPr>
        <w:t>协同医保同频共振。医保的</w:t>
      </w:r>
      <w:r>
        <w:rPr>
          <w:rFonts w:hint="eastAsia" w:ascii="仿宋_GB2312" w:hAnsi="仿宋_GB2312" w:eastAsia="仿宋_GB2312" w:cs="仿宋_GB2312"/>
          <w:color w:val="auto"/>
          <w:spacing w:val="6"/>
          <w:sz w:val="30"/>
          <w:szCs w:val="30"/>
          <w:highlight w:val="none"/>
          <w:shd w:val="clear" w:color="auto" w:fill="auto"/>
          <w:lang w:eastAsia="zh-CN"/>
        </w:rPr>
        <w:t>战略购买作用充分释放。</w:t>
      </w:r>
      <w:r>
        <w:rPr>
          <w:rFonts w:hint="eastAsia" w:ascii="仿宋_GB2312" w:hAnsi="仿宋_GB2312" w:eastAsia="仿宋_GB2312" w:cs="仿宋_GB2312"/>
          <w:color w:val="auto"/>
          <w:spacing w:val="6"/>
          <w:sz w:val="30"/>
          <w:szCs w:val="30"/>
          <w:highlight w:val="none"/>
          <w:lang w:eastAsia="zh-CN"/>
        </w:rPr>
        <w:t>“三医”协同治理机制更加完善，医保资金使用效能全面提升。医保数据标准化全面应用且安全有序流动，真实世界数据研究应用发挥关键支撑作用，医保科学治理体系初步建成。效能医保显著提升。</w:t>
      </w:r>
      <w:r>
        <w:rPr>
          <w:rFonts w:hint="eastAsia" w:ascii="仿宋_GB2312" w:hAnsi="仿宋_GB2312" w:eastAsia="仿宋_GB2312" w:cs="仿宋_GB2312"/>
          <w:color w:val="auto"/>
          <w:spacing w:val="6"/>
          <w:sz w:val="30"/>
          <w:szCs w:val="30"/>
          <w:highlight w:val="none"/>
          <w:lang w:val="en-US" w:eastAsia="zh-CN"/>
        </w:rPr>
        <w:t>医保基金管理更加精细，</w:t>
      </w:r>
      <w:r>
        <w:rPr>
          <w:rFonts w:hint="eastAsia" w:ascii="仿宋_GB2312" w:hAnsi="仿宋_GB2312" w:eastAsia="仿宋_GB2312" w:cs="仿宋_GB2312"/>
          <w:color w:val="auto"/>
          <w:spacing w:val="6"/>
          <w:sz w:val="30"/>
          <w:szCs w:val="30"/>
          <w:highlight w:val="none"/>
          <w:lang w:eastAsia="zh-CN"/>
        </w:rPr>
        <w:t>医保系统科学决策、民主决策、依法决策机制更加健全。</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rPr>
        <w:t>展望2035年，在</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十五五</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发展目标全面完成基础上，多层次医疗保障制度体系实现从</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更加成熟完善</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到</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成熟定型</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的跃升，基本</w:t>
      </w:r>
      <w:r>
        <w:rPr>
          <w:rFonts w:hint="eastAsia" w:ascii="仿宋_GB2312" w:hAnsi="仿宋_GB2312" w:eastAsia="仿宋_GB2312" w:cs="仿宋_GB2312"/>
          <w:color w:val="auto"/>
          <w:spacing w:val="6"/>
          <w:sz w:val="30"/>
          <w:szCs w:val="30"/>
          <w:highlight w:val="none"/>
          <w:lang w:eastAsia="zh-CN"/>
        </w:rPr>
        <w:t>医保</w:t>
      </w:r>
      <w:r>
        <w:rPr>
          <w:rFonts w:hint="eastAsia" w:ascii="仿宋_GB2312" w:hAnsi="仿宋_GB2312" w:eastAsia="仿宋_GB2312" w:cs="仿宋_GB2312"/>
          <w:color w:val="auto"/>
          <w:spacing w:val="6"/>
          <w:sz w:val="30"/>
          <w:szCs w:val="30"/>
          <w:highlight w:val="none"/>
        </w:rPr>
        <w:t>制度更加规范统一，治理体系和治理能力现代化</w:t>
      </w:r>
      <w:r>
        <w:rPr>
          <w:rFonts w:hint="eastAsia" w:ascii="仿宋_GB2312" w:hAnsi="仿宋_GB2312" w:eastAsia="仿宋_GB2312" w:cs="仿宋_GB2312"/>
          <w:color w:val="auto"/>
          <w:spacing w:val="6"/>
          <w:sz w:val="30"/>
          <w:szCs w:val="30"/>
          <w:highlight w:val="none"/>
          <w:lang w:eastAsia="zh-CN"/>
        </w:rPr>
        <w:t>水平显著提高，</w:t>
      </w:r>
      <w:r>
        <w:rPr>
          <w:rFonts w:hint="eastAsia" w:ascii="仿宋_GB2312" w:hAnsi="仿宋_GB2312" w:eastAsia="仿宋_GB2312" w:cs="仿宋_GB2312"/>
          <w:color w:val="auto"/>
          <w:spacing w:val="6"/>
          <w:sz w:val="30"/>
          <w:szCs w:val="30"/>
          <w:highlight w:val="none"/>
          <w:lang w:val="en-US" w:eastAsia="zh-CN"/>
        </w:rPr>
        <w:t>“</w:t>
      </w:r>
      <w:r>
        <w:rPr>
          <w:rFonts w:hint="eastAsia" w:ascii="仿宋_GB2312" w:hAnsi="仿宋_GB2312" w:eastAsia="仿宋_GB2312" w:cs="仿宋_GB2312"/>
          <w:color w:val="auto"/>
          <w:spacing w:val="6"/>
          <w:sz w:val="30"/>
          <w:szCs w:val="30"/>
          <w:highlight w:val="none"/>
          <w:lang w:eastAsia="zh-CN"/>
        </w:rPr>
        <w:t>三医”</w:t>
      </w:r>
      <w:r>
        <w:rPr>
          <w:rFonts w:hint="eastAsia" w:ascii="仿宋_GB2312" w:hAnsi="仿宋_GB2312" w:eastAsia="仿宋_GB2312" w:cs="仿宋_GB2312"/>
          <w:color w:val="auto"/>
          <w:spacing w:val="6"/>
          <w:sz w:val="30"/>
          <w:szCs w:val="30"/>
          <w:highlight w:val="none"/>
        </w:rPr>
        <w:t>协同治理格局</w:t>
      </w:r>
      <w:r>
        <w:rPr>
          <w:rFonts w:hint="eastAsia" w:ascii="仿宋_GB2312" w:hAnsi="仿宋_GB2312" w:eastAsia="仿宋_GB2312" w:cs="仿宋_GB2312"/>
          <w:color w:val="auto"/>
          <w:spacing w:val="6"/>
          <w:sz w:val="30"/>
          <w:szCs w:val="30"/>
          <w:highlight w:val="none"/>
          <w:lang w:eastAsia="zh-CN"/>
        </w:rPr>
        <w:t>基本</w:t>
      </w:r>
      <w:r>
        <w:rPr>
          <w:rFonts w:hint="eastAsia" w:ascii="仿宋_GB2312" w:hAnsi="仿宋_GB2312" w:eastAsia="仿宋_GB2312" w:cs="仿宋_GB2312"/>
          <w:color w:val="auto"/>
          <w:spacing w:val="6"/>
          <w:sz w:val="30"/>
          <w:szCs w:val="30"/>
          <w:highlight w:val="none"/>
        </w:rPr>
        <w:t>形成</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国际化医保服务和管</w:t>
      </w:r>
      <w:r>
        <w:rPr>
          <w:rFonts w:hint="eastAsia" w:ascii="仿宋_GB2312" w:hAnsi="仿宋_GB2312" w:eastAsia="仿宋_GB2312" w:cs="仿宋_GB2312"/>
          <w:color w:val="auto"/>
          <w:spacing w:val="0"/>
          <w:sz w:val="30"/>
          <w:szCs w:val="30"/>
          <w:highlight w:val="none"/>
        </w:rPr>
        <w:t>理体系</w:t>
      </w:r>
      <w:r>
        <w:rPr>
          <w:rFonts w:hint="eastAsia" w:ascii="仿宋_GB2312" w:hAnsi="仿宋_GB2312" w:eastAsia="仿宋_GB2312" w:cs="仿宋_GB2312"/>
          <w:color w:val="auto"/>
          <w:spacing w:val="0"/>
          <w:sz w:val="30"/>
          <w:szCs w:val="30"/>
          <w:highlight w:val="none"/>
          <w:lang w:eastAsia="zh-CN"/>
        </w:rPr>
        <w:t>逐步</w:t>
      </w:r>
      <w:r>
        <w:rPr>
          <w:rFonts w:hint="eastAsia" w:ascii="仿宋_GB2312" w:hAnsi="仿宋_GB2312" w:eastAsia="仿宋_GB2312" w:cs="仿宋_GB2312"/>
          <w:color w:val="auto"/>
          <w:spacing w:val="0"/>
          <w:sz w:val="30"/>
          <w:szCs w:val="30"/>
          <w:highlight w:val="none"/>
        </w:rPr>
        <w:t>完善</w:t>
      </w:r>
      <w:r>
        <w:rPr>
          <w:rFonts w:hint="eastAsia" w:ascii="仿宋_GB2312" w:hAnsi="仿宋_GB2312" w:eastAsia="仿宋_GB2312" w:cs="仿宋_GB2312"/>
          <w:color w:val="auto"/>
          <w:spacing w:val="0"/>
          <w:sz w:val="30"/>
          <w:szCs w:val="30"/>
          <w:highlight w:val="none"/>
          <w:lang w:eastAsia="zh-CN"/>
        </w:rPr>
        <w:t>，</w:t>
      </w:r>
      <w:r>
        <w:rPr>
          <w:rFonts w:hint="eastAsia" w:ascii="仿宋_GB2312" w:hAnsi="仿宋_GB2312" w:eastAsia="仿宋_GB2312" w:cs="仿宋_GB2312"/>
          <w:color w:val="auto"/>
          <w:spacing w:val="0"/>
          <w:sz w:val="30"/>
          <w:szCs w:val="30"/>
          <w:highlight w:val="none"/>
          <w:lang w:val="en-US" w:eastAsia="zh-CN"/>
        </w:rPr>
        <w:t>中国特色自由贸易港医疗保障制度体系全面建成</w:t>
      </w:r>
      <w:r>
        <w:rPr>
          <w:rFonts w:hint="eastAsia" w:ascii="仿宋_GB2312" w:hAnsi="仿宋_GB2312" w:eastAsia="仿宋_GB2312" w:cs="仿宋_GB2312"/>
          <w:color w:val="auto"/>
          <w:spacing w:val="0"/>
          <w:sz w:val="30"/>
          <w:szCs w:val="30"/>
          <w:highlight w:val="none"/>
        </w:rPr>
        <w:t>。</w:t>
      </w:r>
    </w:p>
    <w:p>
      <w:pPr>
        <w:keepNext w:val="0"/>
        <w:keepLines w:val="0"/>
        <w:pageBreakBefore w:val="0"/>
        <w:widowControl w:val="0"/>
        <w:kinsoku/>
        <w:wordWrap/>
        <w:overflowPunct w:val="0"/>
        <w:topLinePunct w:val="0"/>
        <w:autoSpaceDE/>
        <w:autoSpaceDN/>
        <w:bidi w:val="0"/>
        <w:adjustRightInd w:val="0"/>
        <w:snapToGrid w:val="0"/>
        <w:spacing w:before="157" w:beforeLines="50" w:after="157" w:afterLines="50" w:line="360" w:lineRule="exact"/>
        <w:jc w:val="center"/>
        <w:textAlignment w:val="auto"/>
        <w:rPr>
          <w:rFonts w:hint="default" w:ascii="Times New Roman" w:hAnsi="Times New Roman" w:eastAsia="黑体" w:cs="Times New Roman"/>
          <w:color w:val="auto"/>
          <w:spacing w:val="0"/>
          <w:sz w:val="28"/>
          <w:szCs w:val="28"/>
          <w:highlight w:val="none"/>
          <w:lang w:val="en-US" w:eastAsia="zh-CN"/>
        </w:rPr>
      </w:pPr>
      <w:r>
        <w:rPr>
          <w:rFonts w:hint="default" w:ascii="Times New Roman" w:hAnsi="Times New Roman" w:eastAsia="黑体" w:cs="Times New Roman"/>
          <w:color w:val="auto"/>
          <w:spacing w:val="0"/>
          <w:sz w:val="28"/>
          <w:szCs w:val="28"/>
          <w:highlight w:val="none"/>
          <w:lang w:val="en-US" w:eastAsia="zh-CN"/>
        </w:rPr>
        <w:t xml:space="preserve">表1 </w:t>
      </w:r>
      <w:r>
        <w:rPr>
          <w:rFonts w:hint="eastAsia" w:ascii="Times New Roman" w:hAnsi="Times New Roman" w:eastAsia="黑体" w:cs="Times New Roman"/>
          <w:color w:val="auto"/>
          <w:spacing w:val="0"/>
          <w:sz w:val="28"/>
          <w:szCs w:val="28"/>
          <w:highlight w:val="none"/>
          <w:lang w:val="en-US" w:eastAsia="zh-CN"/>
        </w:rPr>
        <w:t>“</w:t>
      </w:r>
      <w:r>
        <w:rPr>
          <w:rFonts w:hint="default" w:ascii="Times New Roman" w:hAnsi="Times New Roman" w:eastAsia="黑体" w:cs="Times New Roman"/>
          <w:color w:val="auto"/>
          <w:spacing w:val="0"/>
          <w:sz w:val="28"/>
          <w:szCs w:val="28"/>
          <w:highlight w:val="none"/>
          <w:lang w:val="en-US" w:eastAsia="zh-CN"/>
        </w:rPr>
        <w:t>十五五</w:t>
      </w:r>
      <w:r>
        <w:rPr>
          <w:rFonts w:hint="eastAsia" w:ascii="Times New Roman" w:hAnsi="Times New Roman" w:eastAsia="黑体" w:cs="Times New Roman"/>
          <w:color w:val="auto"/>
          <w:spacing w:val="0"/>
          <w:sz w:val="28"/>
          <w:szCs w:val="28"/>
          <w:highlight w:val="none"/>
          <w:lang w:val="en-US" w:eastAsia="zh-CN"/>
        </w:rPr>
        <w:t>”</w:t>
      </w:r>
      <w:r>
        <w:rPr>
          <w:rFonts w:hint="default" w:ascii="Times New Roman" w:hAnsi="Times New Roman" w:eastAsia="黑体" w:cs="Times New Roman"/>
          <w:color w:val="auto"/>
          <w:spacing w:val="0"/>
          <w:sz w:val="28"/>
          <w:szCs w:val="28"/>
          <w:highlight w:val="none"/>
          <w:lang w:val="en-US" w:eastAsia="zh-CN"/>
        </w:rPr>
        <w:t>时期海南省医疗保障发展主要指标</w:t>
      </w:r>
    </w:p>
    <w:tbl>
      <w:tblPr>
        <w:tblStyle w:val="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7" w:type="dxa"/>
          <w:bottom w:w="0" w:type="dxa"/>
          <w:right w:w="17" w:type="dxa"/>
        </w:tblCellMar>
      </w:tblPr>
      <w:tblGrid>
        <w:gridCol w:w="1070"/>
        <w:gridCol w:w="4185"/>
        <w:gridCol w:w="1213"/>
        <w:gridCol w:w="1546"/>
        <w:gridCol w:w="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39" w:hRule="atLeast"/>
          <w:tblHeader/>
          <w:jc w:val="center"/>
        </w:trPr>
        <w:tc>
          <w:tcPr>
            <w:tcW w:w="603" w:type="pct"/>
            <w:shd w:val="clear" w:color="auto" w:fill="D7D7D7"/>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eastAsia" w:ascii="黑体" w:hAnsi="黑体" w:eastAsia="黑体" w:cs="黑体"/>
                <w:b w:val="0"/>
                <w:bCs w:val="0"/>
                <w:i w:val="0"/>
                <w:iCs w:val="0"/>
                <w:color w:val="auto"/>
                <w:spacing w:val="0"/>
                <w:kern w:val="0"/>
                <w:sz w:val="22"/>
                <w:szCs w:val="22"/>
                <w:highlight w:val="none"/>
                <w:u w:val="none"/>
                <w:lang w:val="en-US" w:eastAsia="zh-CN" w:bidi="ar"/>
              </w:rPr>
            </w:pPr>
            <w:r>
              <w:rPr>
                <w:rFonts w:hint="eastAsia" w:ascii="黑体" w:hAnsi="黑体" w:eastAsia="黑体" w:cs="黑体"/>
                <w:b w:val="0"/>
                <w:bCs w:val="0"/>
                <w:i w:val="0"/>
                <w:iCs w:val="0"/>
                <w:color w:val="auto"/>
                <w:spacing w:val="0"/>
                <w:kern w:val="0"/>
                <w:sz w:val="22"/>
                <w:szCs w:val="22"/>
                <w:highlight w:val="none"/>
                <w:u w:val="none"/>
                <w:lang w:val="en-US" w:eastAsia="zh-CN" w:bidi="ar"/>
              </w:rPr>
              <w:t>指标类型</w:t>
            </w:r>
          </w:p>
        </w:tc>
        <w:tc>
          <w:tcPr>
            <w:tcW w:w="2357" w:type="pct"/>
            <w:shd w:val="clear" w:color="auto" w:fill="D7D7D7"/>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eastAsia" w:ascii="黑体" w:hAnsi="黑体" w:eastAsia="黑体" w:cs="黑体"/>
                <w:b w:val="0"/>
                <w:bCs w:val="0"/>
                <w:i w:val="0"/>
                <w:iCs w:val="0"/>
                <w:color w:val="auto"/>
                <w:spacing w:val="0"/>
                <w:sz w:val="22"/>
                <w:szCs w:val="22"/>
                <w:highlight w:val="none"/>
                <w:u w:val="none"/>
              </w:rPr>
            </w:pPr>
            <w:r>
              <w:rPr>
                <w:rFonts w:hint="eastAsia" w:ascii="黑体" w:hAnsi="黑体" w:eastAsia="黑体" w:cs="黑体"/>
                <w:b w:val="0"/>
                <w:bCs w:val="0"/>
                <w:i w:val="0"/>
                <w:iCs w:val="0"/>
                <w:color w:val="auto"/>
                <w:spacing w:val="0"/>
                <w:kern w:val="0"/>
                <w:sz w:val="22"/>
                <w:szCs w:val="22"/>
                <w:highlight w:val="none"/>
                <w:u w:val="none"/>
                <w:lang w:val="en-US" w:eastAsia="zh-CN" w:bidi="ar"/>
              </w:rPr>
              <w:t>主要指标</w:t>
            </w:r>
          </w:p>
        </w:tc>
        <w:tc>
          <w:tcPr>
            <w:tcW w:w="683" w:type="pct"/>
            <w:shd w:val="clear" w:color="auto" w:fill="D7D7D7"/>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eastAsia" w:ascii="黑体" w:hAnsi="黑体" w:eastAsia="黑体" w:cs="黑体"/>
                <w:b w:val="0"/>
                <w:bCs w:val="0"/>
                <w:i w:val="0"/>
                <w:iCs w:val="0"/>
                <w:color w:val="auto"/>
                <w:spacing w:val="0"/>
                <w:sz w:val="22"/>
                <w:szCs w:val="22"/>
                <w:highlight w:val="none"/>
                <w:u w:val="none"/>
                <w:lang w:val="en-US"/>
              </w:rPr>
            </w:pPr>
            <w:r>
              <w:rPr>
                <w:rFonts w:hint="eastAsia" w:ascii="黑体" w:hAnsi="黑体" w:eastAsia="黑体" w:cs="黑体"/>
                <w:b w:val="0"/>
                <w:bCs w:val="0"/>
                <w:i w:val="0"/>
                <w:iCs w:val="0"/>
                <w:color w:val="auto"/>
                <w:spacing w:val="0"/>
                <w:kern w:val="0"/>
                <w:sz w:val="22"/>
                <w:szCs w:val="22"/>
                <w:highlight w:val="none"/>
                <w:u w:val="none"/>
                <w:lang w:val="en-US" w:eastAsia="zh-CN" w:bidi="ar"/>
              </w:rPr>
              <w:t>2025年</w:t>
            </w:r>
          </w:p>
        </w:tc>
        <w:tc>
          <w:tcPr>
            <w:tcW w:w="871" w:type="pct"/>
            <w:shd w:val="clear" w:color="auto" w:fill="D7D7D7"/>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eastAsia" w:ascii="黑体" w:hAnsi="黑体" w:eastAsia="黑体" w:cs="黑体"/>
                <w:b w:val="0"/>
                <w:bCs w:val="0"/>
                <w:i w:val="0"/>
                <w:iCs w:val="0"/>
                <w:color w:val="auto"/>
                <w:spacing w:val="0"/>
                <w:sz w:val="22"/>
                <w:szCs w:val="22"/>
                <w:highlight w:val="none"/>
                <w:u w:val="none"/>
              </w:rPr>
            </w:pPr>
            <w:r>
              <w:rPr>
                <w:rFonts w:hint="eastAsia" w:ascii="黑体" w:hAnsi="黑体" w:eastAsia="黑体" w:cs="黑体"/>
                <w:b w:val="0"/>
                <w:bCs w:val="0"/>
                <w:i w:val="0"/>
                <w:iCs w:val="0"/>
                <w:color w:val="auto"/>
                <w:spacing w:val="0"/>
                <w:kern w:val="0"/>
                <w:sz w:val="22"/>
                <w:szCs w:val="22"/>
                <w:highlight w:val="none"/>
                <w:u w:val="none"/>
                <w:lang w:val="en-US" w:eastAsia="zh-CN" w:bidi="ar"/>
              </w:rPr>
              <w:t>2030年</w:t>
            </w:r>
          </w:p>
        </w:tc>
        <w:tc>
          <w:tcPr>
            <w:tcW w:w="484" w:type="pct"/>
            <w:shd w:val="clear" w:color="auto" w:fill="D7D7D7"/>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eastAsia" w:ascii="黑体" w:hAnsi="黑体" w:eastAsia="黑体" w:cs="黑体"/>
                <w:b w:val="0"/>
                <w:bCs w:val="0"/>
                <w:i w:val="0"/>
                <w:iCs w:val="0"/>
                <w:color w:val="auto"/>
                <w:spacing w:val="0"/>
                <w:kern w:val="0"/>
                <w:sz w:val="22"/>
                <w:szCs w:val="22"/>
                <w:highlight w:val="none"/>
                <w:u w:val="none"/>
                <w:lang w:val="en-US" w:eastAsia="zh-CN" w:bidi="ar"/>
              </w:rPr>
            </w:pPr>
            <w:r>
              <w:rPr>
                <w:rFonts w:hint="eastAsia" w:ascii="黑体" w:hAnsi="黑体" w:eastAsia="黑体" w:cs="黑体"/>
                <w:b w:val="0"/>
                <w:bCs w:val="0"/>
                <w:i w:val="0"/>
                <w:iCs w:val="0"/>
                <w:color w:val="auto"/>
                <w:spacing w:val="0"/>
                <w:kern w:val="0"/>
                <w:sz w:val="22"/>
                <w:szCs w:val="22"/>
                <w:highlight w:val="none"/>
                <w:u w:val="none"/>
                <w:lang w:val="en-US" w:eastAsia="zh-CN" w:bidi="ar"/>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39" w:hRule="atLeast"/>
          <w:jc w:val="center"/>
        </w:trPr>
        <w:tc>
          <w:tcPr>
            <w:tcW w:w="603"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参保覆盖</w:t>
            </w:r>
          </w:p>
        </w:tc>
        <w:tc>
          <w:tcPr>
            <w:tcW w:w="2357"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sz w:val="22"/>
                <w:szCs w:val="22"/>
                <w:highlight w:val="none"/>
                <w:u w:val="none"/>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基本医疗保险参保率</w:t>
            </w:r>
          </w:p>
        </w:tc>
        <w:tc>
          <w:tcPr>
            <w:tcW w:w="683"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cs="Times New Roman"/>
                <w:i w:val="0"/>
                <w:iCs w:val="0"/>
                <w:color w:val="auto"/>
                <w:spacing w:val="0"/>
                <w:sz w:val="22"/>
                <w:szCs w:val="22"/>
                <w:highlight w:val="none"/>
                <w:u w:val="none"/>
                <w:lang w:val="en" w:eastAsia="zh-CN"/>
              </w:rPr>
              <w:t>95</w:t>
            </w:r>
            <w:r>
              <w:rPr>
                <w:rFonts w:hint="default" w:ascii="Times New Roman" w:hAnsi="Times New Roman" w:cs="Times New Roman"/>
                <w:i w:val="0"/>
                <w:iCs w:val="0"/>
                <w:color w:val="auto"/>
                <w:spacing w:val="0"/>
                <w:sz w:val="22"/>
                <w:szCs w:val="22"/>
                <w:highlight w:val="none"/>
                <w:u w:val="none"/>
                <w:lang w:val="en-US" w:eastAsia="zh-CN"/>
              </w:rPr>
              <w:t>%</w:t>
            </w:r>
          </w:p>
        </w:tc>
        <w:tc>
          <w:tcPr>
            <w:tcW w:w="871"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sz w:val="22"/>
                <w:szCs w:val="22"/>
                <w:highlight w:val="none"/>
                <w:u w:val="none"/>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稳定在95%</w:t>
            </w:r>
            <w:r>
              <w:rPr>
                <w:rFonts w:hint="default" w:ascii="Times New Roman" w:hAnsi="Times New Roman" w:cs="Times New Roman"/>
                <w:i w:val="0"/>
                <w:iCs w:val="0"/>
                <w:color w:val="auto"/>
                <w:spacing w:val="0"/>
                <w:kern w:val="0"/>
                <w:sz w:val="22"/>
                <w:szCs w:val="22"/>
                <w:highlight w:val="none"/>
                <w:u w:val="none"/>
                <w:lang w:val="en-US" w:eastAsia="zh-CN" w:bidi="ar"/>
              </w:rPr>
              <w:t>及以上</w:t>
            </w:r>
            <w:r>
              <w:rPr>
                <w:rFonts w:hint="default" w:ascii="Times New Roman" w:hAnsi="Times New Roman" w:eastAsia="宋体" w:cs="Times New Roman"/>
                <w:i w:val="0"/>
                <w:iCs w:val="0"/>
                <w:color w:val="auto"/>
                <w:spacing w:val="0"/>
                <w:kern w:val="0"/>
                <w:sz w:val="22"/>
                <w:szCs w:val="22"/>
                <w:highlight w:val="none"/>
                <w:u w:val="none"/>
                <w:vertAlign w:val="superscript"/>
                <w:lang w:val="en-US" w:eastAsia="zh-CN" w:bidi="ar"/>
              </w:rPr>
              <w:t>①</w:t>
            </w:r>
          </w:p>
        </w:tc>
        <w:tc>
          <w:tcPr>
            <w:tcW w:w="484"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r>
              <w:rPr>
                <w:rFonts w:hint="default" w:ascii="Times New Roman" w:hAnsi="Times New Roman" w:eastAsia="宋体" w:cs="Times New Roman"/>
                <w:i w:val="0"/>
                <w:iCs w:val="0"/>
                <w:color w:val="auto"/>
                <w:spacing w:val="0"/>
                <w:kern w:val="2"/>
                <w:sz w:val="22"/>
                <w:szCs w:val="22"/>
                <w:highlight w:val="none"/>
                <w:u w:val="none"/>
                <w:lang w:val="en-US" w:eastAsia="zh-CN" w:bidi="ar-SA"/>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39" w:hRule="atLeast"/>
          <w:jc w:val="center"/>
        </w:trPr>
        <w:tc>
          <w:tcPr>
            <w:tcW w:w="603" w:type="pct"/>
            <w:vMerge w:val="restar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保障水平</w:t>
            </w:r>
          </w:p>
        </w:tc>
        <w:tc>
          <w:tcPr>
            <w:tcW w:w="2357"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职工医保目录内住院费用支付比例</w:t>
            </w:r>
          </w:p>
        </w:tc>
        <w:tc>
          <w:tcPr>
            <w:tcW w:w="683"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88.7%</w:t>
            </w:r>
          </w:p>
        </w:tc>
        <w:tc>
          <w:tcPr>
            <w:tcW w:w="871"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 w:eastAsia="zh-CN" w:bidi="ar-SA"/>
              </w:rPr>
            </w:pPr>
            <w:r>
              <w:rPr>
                <w:rFonts w:hint="eastAsia" w:ascii="Times New Roman" w:hAnsi="Times New Roman" w:cs="Times New Roman"/>
                <w:i w:val="0"/>
                <w:iCs w:val="0"/>
                <w:color w:val="auto"/>
                <w:spacing w:val="0"/>
                <w:kern w:val="2"/>
                <w:sz w:val="22"/>
                <w:szCs w:val="22"/>
                <w:highlight w:val="none"/>
                <w:u w:val="none"/>
                <w:lang w:val="en-US" w:eastAsia="zh-CN" w:bidi="ar-SA"/>
              </w:rPr>
              <w:t>89%以上</w:t>
            </w:r>
          </w:p>
        </w:tc>
        <w:tc>
          <w:tcPr>
            <w:tcW w:w="484"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39" w:hRule="atLeast"/>
          <w:jc w:val="center"/>
        </w:trPr>
        <w:tc>
          <w:tcPr>
            <w:tcW w:w="603" w:type="pct"/>
            <w:vMerge w:val="continue"/>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p>
        </w:tc>
        <w:tc>
          <w:tcPr>
            <w:tcW w:w="2357"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居民医保目录内住院费用支付比例</w:t>
            </w:r>
          </w:p>
        </w:tc>
        <w:tc>
          <w:tcPr>
            <w:tcW w:w="683"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73.1%</w:t>
            </w:r>
          </w:p>
        </w:tc>
        <w:tc>
          <w:tcPr>
            <w:tcW w:w="871"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eastAsia" w:ascii="Times New Roman" w:hAnsi="Times New Roman" w:cs="Times New Roman"/>
                <w:i w:val="0"/>
                <w:iCs w:val="0"/>
                <w:color w:val="auto"/>
                <w:spacing w:val="0"/>
                <w:kern w:val="2"/>
                <w:sz w:val="22"/>
                <w:szCs w:val="22"/>
                <w:highlight w:val="none"/>
                <w:u w:val="none"/>
                <w:lang w:val="en-US" w:eastAsia="zh-CN" w:bidi="ar-SA"/>
              </w:rPr>
              <w:t>74%以上</w:t>
            </w:r>
          </w:p>
        </w:tc>
        <w:tc>
          <w:tcPr>
            <w:tcW w:w="484"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39" w:hRule="atLeast"/>
          <w:jc w:val="center"/>
        </w:trPr>
        <w:tc>
          <w:tcPr>
            <w:tcW w:w="603" w:type="pct"/>
            <w:vMerge w:val="restar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基金安全</w:t>
            </w:r>
          </w:p>
        </w:tc>
        <w:tc>
          <w:tcPr>
            <w:tcW w:w="2357"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职工医保统筹基金累计结余可支付月数</w:t>
            </w:r>
            <w:r>
              <w:rPr>
                <w:rFonts w:hint="default" w:ascii="Times New Roman" w:hAnsi="Times New Roman" w:cs="Times New Roman"/>
                <w:color w:val="auto"/>
                <w:spacing w:val="0"/>
                <w:kern w:val="2"/>
                <w:sz w:val="22"/>
                <w:szCs w:val="22"/>
                <w:highlight w:val="none"/>
                <w:vertAlign w:val="superscript"/>
                <w:lang w:val="en-US" w:eastAsia="zh-CN" w:bidi="ar-SA"/>
              </w:rPr>
              <w:t>②</w:t>
            </w:r>
          </w:p>
        </w:tc>
        <w:tc>
          <w:tcPr>
            <w:tcW w:w="683"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kern w:val="2"/>
                <w:sz w:val="22"/>
                <w:szCs w:val="22"/>
                <w:highlight w:val="none"/>
                <w:u w:val="none"/>
                <w:lang w:val="en-US" w:eastAsia="zh-CN" w:bidi="ar-SA"/>
              </w:rPr>
              <w:t>61</w:t>
            </w:r>
            <w:r>
              <w:rPr>
                <w:rFonts w:hint="default" w:ascii="Times New Roman" w:hAnsi="Times New Roman" w:eastAsia="宋体" w:cs="Times New Roman"/>
                <w:color w:val="auto"/>
                <w:spacing w:val="0"/>
                <w:sz w:val="22"/>
                <w:szCs w:val="22"/>
                <w:highlight w:val="none"/>
                <w:lang w:val="en-US" w:eastAsia="zh-CN"/>
              </w:rPr>
              <w:t>个月</w:t>
            </w:r>
          </w:p>
        </w:tc>
        <w:tc>
          <w:tcPr>
            <w:tcW w:w="871"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安全线以上</w:t>
            </w:r>
            <w:r>
              <w:rPr>
                <w:rFonts w:hint="default" w:ascii="Times New Roman" w:hAnsi="Times New Roman" w:eastAsia="宋体" w:cs="Times New Roman"/>
                <w:i w:val="0"/>
                <w:iCs w:val="0"/>
                <w:color w:val="auto"/>
                <w:spacing w:val="0"/>
                <w:kern w:val="0"/>
                <w:sz w:val="22"/>
                <w:szCs w:val="22"/>
                <w:highlight w:val="none"/>
                <w:u w:val="none"/>
                <w:vertAlign w:val="superscript"/>
                <w:lang w:val="en-US" w:eastAsia="zh-CN" w:bidi="ar"/>
              </w:rPr>
              <w:t>③</w:t>
            </w:r>
          </w:p>
        </w:tc>
        <w:tc>
          <w:tcPr>
            <w:tcW w:w="484"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r>
              <w:rPr>
                <w:rFonts w:hint="default" w:ascii="Times New Roman" w:hAnsi="Times New Roman" w:eastAsia="宋体" w:cs="Times New Roman"/>
                <w:i w:val="0"/>
                <w:iCs w:val="0"/>
                <w:color w:val="auto"/>
                <w:spacing w:val="0"/>
                <w:kern w:val="2"/>
                <w:sz w:val="22"/>
                <w:szCs w:val="22"/>
                <w:highlight w:val="none"/>
                <w:u w:val="none"/>
                <w:lang w:val="en-US" w:eastAsia="zh-CN" w:bidi="ar-SA"/>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39" w:hRule="atLeast"/>
          <w:jc w:val="center"/>
        </w:trPr>
        <w:tc>
          <w:tcPr>
            <w:tcW w:w="603" w:type="pct"/>
            <w:vMerge w:val="continue"/>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p>
        </w:tc>
        <w:tc>
          <w:tcPr>
            <w:tcW w:w="2357"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居民医保基金累计结余可支付月数</w:t>
            </w:r>
          </w:p>
        </w:tc>
        <w:tc>
          <w:tcPr>
            <w:tcW w:w="683"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eastAsia="宋体" w:cs="Times New Roman"/>
                <w:i w:val="0"/>
                <w:iCs w:val="0"/>
                <w:color w:val="auto"/>
                <w:spacing w:val="0"/>
                <w:sz w:val="22"/>
                <w:szCs w:val="22"/>
                <w:highlight w:val="none"/>
                <w:u w:val="none"/>
                <w:lang w:val="en-US" w:eastAsia="zh-CN"/>
              </w:rPr>
              <w:t>12个月</w:t>
            </w:r>
          </w:p>
        </w:tc>
        <w:tc>
          <w:tcPr>
            <w:tcW w:w="871"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安全线以上</w:t>
            </w:r>
            <w:r>
              <w:rPr>
                <w:rFonts w:hint="default" w:ascii="Times New Roman" w:hAnsi="Times New Roman" w:eastAsia="宋体" w:cs="Times New Roman"/>
                <w:i w:val="0"/>
                <w:iCs w:val="0"/>
                <w:color w:val="auto"/>
                <w:spacing w:val="0"/>
                <w:kern w:val="0"/>
                <w:sz w:val="22"/>
                <w:szCs w:val="22"/>
                <w:highlight w:val="none"/>
                <w:u w:val="none"/>
                <w:vertAlign w:val="superscript"/>
                <w:lang w:val="en-US" w:eastAsia="zh-CN" w:bidi="ar"/>
              </w:rPr>
              <w:t>④</w:t>
            </w:r>
          </w:p>
        </w:tc>
        <w:tc>
          <w:tcPr>
            <w:tcW w:w="484"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39" w:hRule="atLeast"/>
          <w:jc w:val="center"/>
        </w:trPr>
        <w:tc>
          <w:tcPr>
            <w:tcW w:w="603" w:type="pct"/>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eastAsia="宋体" w:cs="Times New Roman"/>
                <w:i w:val="0"/>
                <w:iCs w:val="0"/>
                <w:color w:val="auto"/>
                <w:spacing w:val="0"/>
                <w:sz w:val="22"/>
                <w:szCs w:val="22"/>
                <w:highlight w:val="none"/>
                <w:u w:val="none"/>
                <w:lang w:val="en-US" w:eastAsia="zh-CN"/>
              </w:rPr>
              <w:t>精细管理</w:t>
            </w:r>
          </w:p>
        </w:tc>
        <w:tc>
          <w:tcPr>
            <w:tcW w:w="2357" w:type="pct"/>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eastAsia="宋体" w:cs="Times New Roman"/>
                <w:i w:val="0"/>
                <w:iCs w:val="0"/>
                <w:color w:val="auto"/>
                <w:spacing w:val="0"/>
                <w:sz w:val="22"/>
                <w:szCs w:val="22"/>
                <w:highlight w:val="none"/>
                <w:u w:val="none"/>
                <w:lang w:val="en-US" w:eastAsia="zh-CN"/>
              </w:rPr>
              <w:t>公立医疗机构通过省级平台采购药品</w:t>
            </w:r>
            <w:r>
              <w:rPr>
                <w:rFonts w:hint="default" w:ascii="Times New Roman" w:hAnsi="Times New Roman" w:cs="Times New Roman"/>
                <w:i w:val="0"/>
                <w:iCs w:val="0"/>
                <w:color w:val="auto"/>
                <w:spacing w:val="0"/>
                <w:sz w:val="22"/>
                <w:szCs w:val="22"/>
                <w:highlight w:val="none"/>
                <w:u w:val="none"/>
                <w:lang w:val="en-US" w:eastAsia="zh-CN"/>
              </w:rPr>
              <w:t>金额（</w:t>
            </w:r>
            <w:r>
              <w:rPr>
                <w:rFonts w:hint="default" w:ascii="Times New Roman" w:hAnsi="Times New Roman" w:eastAsia="宋体" w:cs="Times New Roman"/>
                <w:i w:val="0"/>
                <w:iCs w:val="0"/>
                <w:color w:val="auto"/>
                <w:spacing w:val="0"/>
                <w:sz w:val="22"/>
                <w:szCs w:val="22"/>
                <w:highlight w:val="none"/>
                <w:u w:val="none"/>
                <w:lang w:val="en-US" w:eastAsia="zh-CN"/>
              </w:rPr>
              <w:t>不含中药饮片</w:t>
            </w:r>
            <w:r>
              <w:rPr>
                <w:rFonts w:hint="default" w:ascii="Times New Roman" w:hAnsi="Times New Roman" w:cs="Times New Roman"/>
                <w:i w:val="0"/>
                <w:iCs w:val="0"/>
                <w:color w:val="auto"/>
                <w:spacing w:val="0"/>
                <w:sz w:val="22"/>
                <w:szCs w:val="22"/>
                <w:highlight w:val="none"/>
                <w:u w:val="none"/>
                <w:lang w:val="en-US" w:eastAsia="zh-CN"/>
              </w:rPr>
              <w:t>）</w:t>
            </w:r>
            <w:r>
              <w:rPr>
                <w:rFonts w:hint="default" w:ascii="Times New Roman" w:hAnsi="Times New Roman" w:eastAsia="宋体" w:cs="Times New Roman"/>
                <w:i w:val="0"/>
                <w:iCs w:val="0"/>
                <w:color w:val="auto"/>
                <w:spacing w:val="0"/>
                <w:sz w:val="22"/>
                <w:szCs w:val="22"/>
                <w:highlight w:val="none"/>
                <w:u w:val="none"/>
                <w:lang w:val="en-US" w:eastAsia="zh-CN"/>
              </w:rPr>
              <w:t>和高值医用耗材金额占全部采购金额的比例</w:t>
            </w:r>
          </w:p>
        </w:tc>
        <w:tc>
          <w:tcPr>
            <w:tcW w:w="683" w:type="pct"/>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ind w:firstLine="0"/>
              <w:jc w:val="both"/>
              <w:textAlignment w:val="auto"/>
              <w:rPr>
                <w:rFonts w:hint="default" w:ascii="Times New Roman" w:hAnsi="Times New Roman" w:eastAsia="宋体" w:cs="Times New Roman"/>
                <w:i w:val="0"/>
                <w:iCs w:val="0"/>
                <w:color w:val="auto"/>
                <w:spacing w:val="0"/>
                <w:sz w:val="22"/>
                <w:szCs w:val="22"/>
                <w:highlight w:val="none"/>
                <w:u w:val="none"/>
                <w:lang w:eastAsia="zh-CN"/>
              </w:rPr>
            </w:pPr>
            <w:r>
              <w:rPr>
                <w:rFonts w:hint="default" w:ascii="Times New Roman" w:hAnsi="Times New Roman" w:cs="Times New Roman"/>
                <w:i w:val="0"/>
                <w:iCs w:val="0"/>
                <w:color w:val="auto"/>
                <w:spacing w:val="0"/>
                <w:sz w:val="22"/>
                <w:szCs w:val="22"/>
                <w:highlight w:val="none"/>
                <w:u w:val="none"/>
                <w:lang w:eastAsia="zh-CN"/>
              </w:rPr>
              <w:t>药品90%，高值医用耗材66%</w:t>
            </w:r>
          </w:p>
        </w:tc>
        <w:tc>
          <w:tcPr>
            <w:tcW w:w="871" w:type="pct"/>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sz w:val="22"/>
                <w:szCs w:val="22"/>
                <w:highlight w:val="none"/>
                <w:u w:val="none"/>
                <w:lang w:val="en-US" w:eastAsia="zh"/>
              </w:rPr>
            </w:pPr>
            <w:r>
              <w:rPr>
                <w:rFonts w:hint="default" w:ascii="Times New Roman" w:hAnsi="Times New Roman" w:eastAsia="宋体" w:cs="Times New Roman"/>
                <w:i w:val="0"/>
                <w:iCs w:val="0"/>
                <w:color w:val="auto"/>
                <w:spacing w:val="0"/>
                <w:sz w:val="22"/>
                <w:szCs w:val="22"/>
                <w:highlight w:val="none"/>
                <w:u w:val="none"/>
                <w:lang w:val="en-US" w:eastAsia="zh-CN"/>
              </w:rPr>
              <w:t>药品</w:t>
            </w:r>
            <w:r>
              <w:rPr>
                <w:rFonts w:hint="default" w:ascii="Times New Roman" w:hAnsi="Times New Roman" w:cs="Times New Roman"/>
                <w:i w:val="0"/>
                <w:iCs w:val="0"/>
                <w:color w:val="auto"/>
                <w:spacing w:val="0"/>
                <w:sz w:val="22"/>
                <w:szCs w:val="22"/>
                <w:highlight w:val="none"/>
                <w:u w:val="none"/>
                <w:lang w:eastAsia="zh-CN"/>
              </w:rPr>
              <w:t>维持</w:t>
            </w:r>
            <w:r>
              <w:rPr>
                <w:rFonts w:hint="default" w:ascii="Times New Roman" w:hAnsi="Times New Roman" w:eastAsia="宋体" w:cs="Times New Roman"/>
                <w:i w:val="0"/>
                <w:iCs w:val="0"/>
                <w:color w:val="auto"/>
                <w:spacing w:val="0"/>
                <w:sz w:val="22"/>
                <w:szCs w:val="22"/>
                <w:highlight w:val="none"/>
                <w:u w:val="none"/>
                <w:lang w:val="en-US" w:eastAsia="zh-CN"/>
              </w:rPr>
              <w:t>9</w:t>
            </w:r>
            <w:r>
              <w:rPr>
                <w:rFonts w:hint="default" w:ascii="Times New Roman" w:hAnsi="Times New Roman" w:cs="Times New Roman"/>
                <w:i w:val="0"/>
                <w:iCs w:val="0"/>
                <w:color w:val="auto"/>
                <w:spacing w:val="0"/>
                <w:sz w:val="22"/>
                <w:szCs w:val="22"/>
                <w:highlight w:val="none"/>
                <w:u w:val="none"/>
                <w:lang w:eastAsia="zh-CN"/>
              </w:rPr>
              <w:t>0</w:t>
            </w:r>
            <w:r>
              <w:rPr>
                <w:rFonts w:hint="default" w:ascii="Times New Roman" w:hAnsi="Times New Roman" w:eastAsia="宋体" w:cs="Times New Roman"/>
                <w:i w:val="0"/>
                <w:iCs w:val="0"/>
                <w:color w:val="auto"/>
                <w:spacing w:val="0"/>
                <w:sz w:val="22"/>
                <w:szCs w:val="22"/>
                <w:highlight w:val="none"/>
                <w:u w:val="none"/>
                <w:lang w:val="en-US" w:eastAsia="zh-CN"/>
              </w:rPr>
              <w:t>%</w:t>
            </w:r>
            <w:r>
              <w:rPr>
                <w:rFonts w:hint="default" w:ascii="Times New Roman" w:hAnsi="Times New Roman" w:cs="Times New Roman"/>
                <w:i w:val="0"/>
                <w:iCs w:val="0"/>
                <w:color w:val="auto"/>
                <w:spacing w:val="0"/>
                <w:sz w:val="22"/>
                <w:szCs w:val="22"/>
                <w:highlight w:val="none"/>
                <w:u w:val="none"/>
                <w:lang w:eastAsia="zh-CN"/>
              </w:rPr>
              <w:t>左右，</w:t>
            </w:r>
            <w:r>
              <w:rPr>
                <w:rFonts w:hint="default" w:ascii="Times New Roman" w:hAnsi="Times New Roman" w:eastAsia="宋体" w:cs="Times New Roman"/>
                <w:i w:val="0"/>
                <w:iCs w:val="0"/>
                <w:color w:val="auto"/>
                <w:spacing w:val="0"/>
                <w:sz w:val="22"/>
                <w:szCs w:val="22"/>
                <w:highlight w:val="none"/>
                <w:u w:val="none"/>
                <w:lang w:val="en-US" w:eastAsia="zh-CN"/>
              </w:rPr>
              <w:t>高值医用耗材</w:t>
            </w:r>
            <w:r>
              <w:rPr>
                <w:rFonts w:hint="default" w:ascii="Times New Roman" w:hAnsi="Times New Roman" w:cs="Times New Roman"/>
                <w:i w:val="0"/>
                <w:iCs w:val="0"/>
                <w:color w:val="auto"/>
                <w:spacing w:val="0"/>
                <w:sz w:val="22"/>
                <w:szCs w:val="22"/>
                <w:highlight w:val="none"/>
                <w:u w:val="none"/>
                <w:lang w:val="en-US" w:eastAsia="zh-CN"/>
              </w:rPr>
              <w:t>达到</w:t>
            </w:r>
            <w:r>
              <w:rPr>
                <w:rFonts w:hint="default" w:ascii="Times New Roman" w:hAnsi="Times New Roman" w:eastAsia="宋体" w:cs="Times New Roman"/>
                <w:i w:val="0"/>
                <w:iCs w:val="0"/>
                <w:color w:val="auto"/>
                <w:spacing w:val="0"/>
                <w:sz w:val="22"/>
                <w:szCs w:val="22"/>
                <w:highlight w:val="none"/>
                <w:u w:val="none"/>
                <w:lang w:val="en-US" w:eastAsia="zh-CN"/>
              </w:rPr>
              <w:t>80%</w:t>
            </w:r>
          </w:p>
        </w:tc>
        <w:tc>
          <w:tcPr>
            <w:tcW w:w="484" w:type="pct"/>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10" w:hRule="atLeast"/>
          <w:jc w:val="center"/>
        </w:trPr>
        <w:tc>
          <w:tcPr>
            <w:tcW w:w="603" w:type="pct"/>
            <w:vMerge w:val="restar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eastAsia="宋体" w:cs="Times New Roman"/>
                <w:i w:val="0"/>
                <w:iCs w:val="0"/>
                <w:color w:val="auto"/>
                <w:spacing w:val="0"/>
                <w:sz w:val="22"/>
                <w:szCs w:val="22"/>
                <w:highlight w:val="none"/>
                <w:u w:val="none"/>
                <w:lang w:val="en-US" w:eastAsia="zh-CN"/>
              </w:rPr>
              <w:t>优质服务</w:t>
            </w:r>
          </w:p>
        </w:tc>
        <w:tc>
          <w:tcPr>
            <w:tcW w:w="2357"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eastAsia="宋体" w:cs="Times New Roman"/>
                <w:i w:val="0"/>
                <w:iCs w:val="0"/>
                <w:color w:val="auto"/>
                <w:spacing w:val="0"/>
                <w:sz w:val="22"/>
                <w:szCs w:val="22"/>
                <w:highlight w:val="none"/>
                <w:u w:val="none"/>
                <w:lang w:val="en-US" w:eastAsia="zh-CN"/>
              </w:rPr>
              <w:t>即时结算基本医疗保险基金支出覆盖率</w:t>
            </w:r>
          </w:p>
        </w:tc>
        <w:tc>
          <w:tcPr>
            <w:tcW w:w="683"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eastAsia="宋体" w:cs="Times New Roman"/>
                <w:i w:val="0"/>
                <w:iCs w:val="0"/>
                <w:color w:val="auto"/>
                <w:spacing w:val="0"/>
                <w:sz w:val="22"/>
                <w:szCs w:val="22"/>
                <w:highlight w:val="none"/>
                <w:u w:val="none"/>
                <w:lang w:val="en-US" w:eastAsia="zh-CN"/>
              </w:rPr>
              <w:t>99%</w:t>
            </w:r>
          </w:p>
        </w:tc>
        <w:tc>
          <w:tcPr>
            <w:tcW w:w="871"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sz w:val="22"/>
                <w:szCs w:val="22"/>
                <w:highlight w:val="none"/>
                <w:u w:val="none"/>
                <w:lang w:val="en-US" w:eastAsia="zh-CN"/>
              </w:rPr>
              <w:t>保持稳定</w:t>
            </w:r>
          </w:p>
        </w:tc>
        <w:tc>
          <w:tcPr>
            <w:tcW w:w="484"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10" w:hRule="atLeast"/>
          <w:jc w:val="center"/>
        </w:trPr>
        <w:tc>
          <w:tcPr>
            <w:tcW w:w="603" w:type="pct"/>
            <w:vMerge w:val="continue"/>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sz w:val="22"/>
                <w:szCs w:val="22"/>
                <w:highlight w:val="none"/>
                <w:u w:val="none"/>
                <w:lang w:val="en-US" w:eastAsia="zh-CN"/>
              </w:rPr>
            </w:pPr>
          </w:p>
        </w:tc>
        <w:tc>
          <w:tcPr>
            <w:tcW w:w="2357"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cs="Times New Roman"/>
                <w:i w:val="0"/>
                <w:iCs w:val="0"/>
                <w:color w:val="auto"/>
                <w:spacing w:val="0"/>
                <w:sz w:val="22"/>
                <w:szCs w:val="22"/>
                <w:highlight w:val="none"/>
                <w:u w:val="none"/>
                <w:lang w:val="en-US" w:eastAsia="zh-CN"/>
              </w:rPr>
              <w:t>设</w:t>
            </w:r>
            <w:r>
              <w:rPr>
                <w:rFonts w:hint="default" w:ascii="Times New Roman" w:hAnsi="Times New Roman" w:eastAsia="宋体" w:cs="Times New Roman"/>
                <w:i w:val="0"/>
                <w:iCs w:val="0"/>
                <w:color w:val="auto"/>
                <w:spacing w:val="0"/>
                <w:sz w:val="22"/>
                <w:szCs w:val="22"/>
                <w:highlight w:val="none"/>
                <w:u w:val="none"/>
                <w:lang w:val="en-US" w:eastAsia="zh-CN"/>
              </w:rPr>
              <w:t>有</w:t>
            </w:r>
            <w:r>
              <w:rPr>
                <w:rFonts w:hint="default" w:ascii="Times New Roman" w:hAnsi="Times New Roman" w:cs="Times New Roman"/>
                <w:i w:val="0"/>
                <w:iCs w:val="0"/>
                <w:color w:val="auto"/>
                <w:spacing w:val="0"/>
                <w:sz w:val="22"/>
                <w:szCs w:val="22"/>
                <w:highlight w:val="none"/>
                <w:u w:val="none"/>
                <w:lang w:val="en-US" w:eastAsia="zh-CN"/>
              </w:rPr>
              <w:t>村</w:t>
            </w:r>
            <w:r>
              <w:rPr>
                <w:rFonts w:hint="default" w:ascii="Times New Roman" w:hAnsi="Times New Roman" w:eastAsia="宋体" w:cs="Times New Roman"/>
                <w:i w:val="0"/>
                <w:iCs w:val="0"/>
                <w:color w:val="auto"/>
                <w:spacing w:val="0"/>
                <w:sz w:val="22"/>
                <w:szCs w:val="22"/>
                <w:highlight w:val="none"/>
                <w:u w:val="none"/>
                <w:lang w:val="en-US" w:eastAsia="zh-CN"/>
              </w:rPr>
              <w:t>卫生室的行政村纳入定点管理比例</w:t>
            </w:r>
          </w:p>
        </w:tc>
        <w:tc>
          <w:tcPr>
            <w:tcW w:w="683"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cs="Times New Roman"/>
                <w:i w:val="0"/>
                <w:iCs w:val="0"/>
                <w:color w:val="auto"/>
                <w:spacing w:val="0"/>
                <w:sz w:val="22"/>
                <w:szCs w:val="22"/>
                <w:highlight w:val="none"/>
                <w:u w:val="none"/>
                <w:lang w:val="en-US" w:eastAsia="zh-CN"/>
              </w:rPr>
              <w:t>91%</w:t>
            </w:r>
          </w:p>
        </w:tc>
        <w:tc>
          <w:tcPr>
            <w:tcW w:w="871"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eastAsia="宋体" w:cs="Times New Roman"/>
                <w:i w:val="0"/>
                <w:iCs w:val="0"/>
                <w:color w:val="auto"/>
                <w:spacing w:val="0"/>
                <w:sz w:val="22"/>
                <w:szCs w:val="22"/>
                <w:highlight w:val="none"/>
                <w:u w:val="none"/>
                <w:lang w:val="en-US" w:eastAsia="zh-CN"/>
              </w:rPr>
              <w:t>98%以上</w:t>
            </w:r>
          </w:p>
        </w:tc>
        <w:tc>
          <w:tcPr>
            <w:tcW w:w="484"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10" w:hRule="atLeast"/>
          <w:jc w:val="center"/>
        </w:trPr>
        <w:tc>
          <w:tcPr>
            <w:tcW w:w="603" w:type="pct"/>
            <w:vMerge w:val="restar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sz w:val="22"/>
                <w:szCs w:val="22"/>
                <w:highlight w:val="none"/>
                <w:u w:val="none"/>
                <w:lang w:val="en-US" w:eastAsia="zh-CN"/>
              </w:rPr>
            </w:pPr>
            <w:r>
              <w:rPr>
                <w:rFonts w:hint="default" w:ascii="Times New Roman" w:hAnsi="Times New Roman" w:cs="Times New Roman"/>
                <w:i w:val="0"/>
                <w:iCs w:val="0"/>
                <w:color w:val="auto"/>
                <w:spacing w:val="0"/>
                <w:sz w:val="22"/>
                <w:szCs w:val="22"/>
                <w:highlight w:val="none"/>
                <w:u w:val="none"/>
                <w:lang w:val="en-US" w:eastAsia="zh-CN"/>
              </w:rPr>
              <w:t>改革创新</w:t>
            </w:r>
          </w:p>
        </w:tc>
        <w:tc>
          <w:tcPr>
            <w:tcW w:w="2357"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sz w:val="22"/>
                <w:szCs w:val="22"/>
                <w:highlight w:val="none"/>
                <w:u w:val="none"/>
                <w:lang w:val="en-US" w:eastAsia="zh-CN"/>
              </w:rPr>
              <w:t>创新药品真实世界研究数量</w:t>
            </w:r>
          </w:p>
        </w:tc>
        <w:tc>
          <w:tcPr>
            <w:tcW w:w="683"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cs="Times New Roman"/>
                <w:i w:val="0"/>
                <w:iCs w:val="0"/>
                <w:color w:val="auto"/>
                <w:spacing w:val="0"/>
                <w:sz w:val="22"/>
                <w:szCs w:val="22"/>
                <w:highlight w:val="none"/>
                <w:u w:val="none"/>
                <w:lang w:val="en-US" w:eastAsia="zh-CN"/>
              </w:rPr>
              <w:t>4</w:t>
            </w:r>
            <w:r>
              <w:rPr>
                <w:rFonts w:hint="default" w:ascii="Times New Roman" w:hAnsi="Times New Roman" w:eastAsia="宋体" w:cs="Times New Roman"/>
                <w:i w:val="0"/>
                <w:iCs w:val="0"/>
                <w:color w:val="auto"/>
                <w:spacing w:val="0"/>
                <w:sz w:val="22"/>
                <w:szCs w:val="22"/>
                <w:highlight w:val="none"/>
                <w:u w:val="none"/>
                <w:lang w:val="en-US" w:eastAsia="zh-CN"/>
              </w:rPr>
              <w:t>个</w:t>
            </w:r>
          </w:p>
        </w:tc>
        <w:tc>
          <w:tcPr>
            <w:tcW w:w="871"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cs="Times New Roman"/>
                <w:i w:val="0"/>
                <w:iCs w:val="0"/>
                <w:color w:val="auto"/>
                <w:spacing w:val="0"/>
                <w:kern w:val="2"/>
                <w:sz w:val="22"/>
                <w:szCs w:val="22"/>
                <w:highlight w:val="none"/>
                <w:u w:val="none"/>
                <w:lang w:val="en-US" w:eastAsia="zh-CN" w:bidi="ar-SA"/>
              </w:rPr>
              <w:t>10</w:t>
            </w:r>
            <w:r>
              <w:rPr>
                <w:rFonts w:hint="default" w:ascii="Times New Roman" w:hAnsi="Times New Roman" w:eastAsia="宋体" w:cs="Times New Roman"/>
                <w:i w:val="0"/>
                <w:iCs w:val="0"/>
                <w:color w:val="auto"/>
                <w:spacing w:val="0"/>
                <w:kern w:val="2"/>
                <w:sz w:val="22"/>
                <w:szCs w:val="22"/>
                <w:highlight w:val="none"/>
                <w:u w:val="none"/>
                <w:lang w:val="en-US" w:eastAsia="zh-CN" w:bidi="ar-SA"/>
              </w:rPr>
              <w:t>个</w:t>
            </w:r>
          </w:p>
        </w:tc>
        <w:tc>
          <w:tcPr>
            <w:tcW w:w="484"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39" w:hRule="atLeast"/>
          <w:jc w:val="center"/>
        </w:trPr>
        <w:tc>
          <w:tcPr>
            <w:tcW w:w="603" w:type="pct"/>
            <w:vMerge w:val="continue"/>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sz w:val="22"/>
                <w:szCs w:val="22"/>
                <w:highlight w:val="none"/>
                <w:u w:val="none"/>
                <w:lang w:val="en-US" w:eastAsia="zh-CN"/>
              </w:rPr>
            </w:pPr>
          </w:p>
        </w:tc>
        <w:tc>
          <w:tcPr>
            <w:tcW w:w="2357"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both"/>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sz w:val="22"/>
                <w:szCs w:val="22"/>
                <w:highlight w:val="none"/>
                <w:u w:val="none"/>
                <w:lang w:val="en-US" w:eastAsia="zh-CN"/>
              </w:rPr>
              <w:t>基于真实世界数据获批上市的乐城特许进口药械纳入国家医保目录</w:t>
            </w:r>
          </w:p>
        </w:tc>
        <w:tc>
          <w:tcPr>
            <w:tcW w:w="683"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eastAsia="宋体" w:cs="Times New Roman"/>
                <w:i w:val="0"/>
                <w:iCs w:val="0"/>
                <w:color w:val="auto"/>
                <w:spacing w:val="0"/>
                <w:sz w:val="22"/>
                <w:szCs w:val="22"/>
                <w:highlight w:val="none"/>
                <w:u w:val="none"/>
                <w:lang w:val="en-US" w:eastAsia="zh-CN"/>
              </w:rPr>
              <w:t>2款</w:t>
            </w:r>
          </w:p>
        </w:tc>
        <w:tc>
          <w:tcPr>
            <w:tcW w:w="871"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2"/>
                <w:sz w:val="22"/>
                <w:szCs w:val="22"/>
                <w:highlight w:val="none"/>
                <w:u w:val="none"/>
                <w:lang w:val="en-US" w:eastAsia="zh-CN" w:bidi="ar-SA"/>
              </w:rPr>
            </w:pPr>
            <w:r>
              <w:rPr>
                <w:rFonts w:hint="default" w:ascii="Times New Roman" w:hAnsi="Times New Roman" w:cs="Times New Roman"/>
                <w:i w:val="0"/>
                <w:iCs w:val="0"/>
                <w:color w:val="auto"/>
                <w:spacing w:val="0"/>
                <w:sz w:val="22"/>
                <w:szCs w:val="22"/>
                <w:highlight w:val="none"/>
                <w:u w:val="none"/>
                <w:lang w:val="en-US" w:eastAsia="zh-CN"/>
              </w:rPr>
              <w:t>5</w:t>
            </w:r>
            <w:r>
              <w:rPr>
                <w:rFonts w:hint="default" w:ascii="Times New Roman" w:hAnsi="Times New Roman" w:eastAsia="宋体" w:cs="Times New Roman"/>
                <w:i w:val="0"/>
                <w:iCs w:val="0"/>
                <w:color w:val="auto"/>
                <w:spacing w:val="0"/>
                <w:sz w:val="22"/>
                <w:szCs w:val="22"/>
                <w:highlight w:val="none"/>
                <w:u w:val="none"/>
                <w:lang w:val="en-US" w:eastAsia="zh-CN"/>
              </w:rPr>
              <w:t>款</w:t>
            </w:r>
          </w:p>
        </w:tc>
        <w:tc>
          <w:tcPr>
            <w:tcW w:w="484" w:type="pct"/>
            <w:shd w:val="clear" w:color="auto" w:fill="FFFFFF"/>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jc w:val="center"/>
              <w:textAlignment w:val="auto"/>
              <w:rPr>
                <w:rFonts w:hint="default" w:ascii="Times New Roman" w:hAnsi="Times New Roman" w:eastAsia="宋体" w:cs="Times New Roman"/>
                <w:i w:val="0"/>
                <w:iCs w:val="0"/>
                <w:color w:val="auto"/>
                <w:spacing w:val="0"/>
                <w:kern w:val="0"/>
                <w:sz w:val="22"/>
                <w:szCs w:val="22"/>
                <w:highlight w:val="none"/>
                <w:u w:val="none"/>
                <w:lang w:val="en-US" w:eastAsia="zh-CN" w:bidi="ar"/>
              </w:rPr>
            </w:pPr>
            <w:r>
              <w:rPr>
                <w:rFonts w:hint="default" w:ascii="Times New Roman" w:hAnsi="Times New Roman" w:eastAsia="宋体" w:cs="Times New Roman"/>
                <w:i w:val="0"/>
                <w:iCs w:val="0"/>
                <w:color w:val="auto"/>
                <w:spacing w:val="0"/>
                <w:kern w:val="0"/>
                <w:sz w:val="22"/>
                <w:szCs w:val="22"/>
                <w:highlight w:val="none"/>
                <w:u w:val="none"/>
                <w:lang w:val="en-US" w:eastAsia="zh-CN" w:bidi="ar"/>
              </w:rPr>
              <w:t>预期性</w:t>
            </w:r>
          </w:p>
        </w:tc>
      </w:tr>
    </w:tbl>
    <w:p>
      <w:pPr>
        <w:keepNext w:val="0"/>
        <w:keepLines w:val="0"/>
        <w:pageBreakBefore w:val="0"/>
        <w:widowControl w:val="0"/>
        <w:suppressLineNumbers w:val="0"/>
        <w:kinsoku/>
        <w:wordWrap/>
        <w:overflowPunct w:val="0"/>
        <w:topLinePunct w:val="0"/>
        <w:autoSpaceDE/>
        <w:autoSpaceDN/>
        <w:bidi w:val="0"/>
        <w:adjustRightInd w:val="0"/>
        <w:snapToGrid w:val="0"/>
        <w:spacing w:before="63" w:beforeLines="20" w:line="360" w:lineRule="exact"/>
        <w:ind w:firstLine="0" w:firstLineChars="0"/>
        <w:jc w:val="both"/>
        <w:textAlignment w:val="auto"/>
        <w:rPr>
          <w:rFonts w:hint="default" w:ascii="Times New Roman" w:hAnsi="Times New Roman" w:cs="Times New Roman"/>
          <w:color w:val="auto"/>
          <w:spacing w:val="0"/>
          <w:sz w:val="21"/>
          <w:szCs w:val="21"/>
          <w:highlight w:val="none"/>
          <w:lang w:val="en-US" w:eastAsia="zh-CN"/>
        </w:rPr>
      </w:pPr>
      <w:r>
        <w:rPr>
          <w:rFonts w:hint="default" w:ascii="Times New Roman" w:hAnsi="Times New Roman" w:cs="Times New Roman"/>
          <w:color w:val="auto"/>
          <w:spacing w:val="0"/>
          <w:sz w:val="21"/>
          <w:szCs w:val="21"/>
          <w:highlight w:val="none"/>
          <w:lang w:val="en-US" w:eastAsia="zh-CN"/>
        </w:rPr>
        <w:t>备注：①指</w:t>
      </w:r>
      <w:r>
        <w:rPr>
          <w:rFonts w:hint="eastAsia" w:ascii="Times New Roman" w:hAnsi="Times New Roman" w:cs="Times New Roman"/>
          <w:color w:val="auto"/>
          <w:spacing w:val="0"/>
          <w:sz w:val="21"/>
          <w:szCs w:val="21"/>
          <w:highlight w:val="none"/>
          <w:lang w:val="en-US" w:eastAsia="zh-CN"/>
        </w:rPr>
        <w:t>“</w:t>
      </w:r>
      <w:r>
        <w:rPr>
          <w:rFonts w:hint="default" w:ascii="Times New Roman" w:hAnsi="Times New Roman" w:cs="Times New Roman"/>
          <w:color w:val="auto"/>
          <w:spacing w:val="0"/>
          <w:sz w:val="21"/>
          <w:szCs w:val="21"/>
          <w:highlight w:val="none"/>
          <w:lang w:val="en-US" w:eastAsia="zh-CN"/>
        </w:rPr>
        <w:t>十五五</w:t>
      </w:r>
      <w:r>
        <w:rPr>
          <w:rFonts w:hint="eastAsia" w:ascii="Times New Roman" w:hAnsi="Times New Roman" w:cs="Times New Roman"/>
          <w:color w:val="auto"/>
          <w:spacing w:val="0"/>
          <w:sz w:val="21"/>
          <w:szCs w:val="21"/>
          <w:highlight w:val="none"/>
          <w:lang w:val="en-US" w:eastAsia="zh-CN"/>
        </w:rPr>
        <w:t>”</w:t>
      </w:r>
      <w:r>
        <w:rPr>
          <w:rFonts w:hint="default" w:ascii="Times New Roman" w:hAnsi="Times New Roman" w:cs="Times New Roman"/>
          <w:color w:val="auto"/>
          <w:spacing w:val="0"/>
          <w:sz w:val="21"/>
          <w:szCs w:val="21"/>
          <w:highlight w:val="none"/>
          <w:lang w:val="en-US" w:eastAsia="zh-CN"/>
        </w:rPr>
        <w:t>期间每年基本医保参保率稳定在95%以上。</w:t>
      </w:r>
    </w:p>
    <w:p>
      <w:pPr>
        <w:keepNext w:val="0"/>
        <w:keepLines w:val="0"/>
        <w:pageBreakBefore w:val="0"/>
        <w:widowControl w:val="0"/>
        <w:kinsoku/>
        <w:wordWrap/>
        <w:overflowPunct w:val="0"/>
        <w:topLinePunct w:val="0"/>
        <w:autoSpaceDE/>
        <w:autoSpaceDN/>
        <w:bidi w:val="0"/>
        <w:adjustRightInd w:val="0"/>
        <w:snapToGrid w:val="0"/>
        <w:spacing w:line="360" w:lineRule="exact"/>
        <w:ind w:firstLine="630" w:firstLineChars="300"/>
        <w:textAlignment w:val="auto"/>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kern w:val="2"/>
          <w:sz w:val="21"/>
          <w:szCs w:val="21"/>
          <w:highlight w:val="none"/>
          <w:lang w:val="en-US" w:eastAsia="zh-CN" w:bidi="ar-SA"/>
        </w:rPr>
        <w:t>②</w:t>
      </w:r>
      <w:r>
        <w:rPr>
          <w:rFonts w:hint="default" w:ascii="Times New Roman" w:hAnsi="Times New Roman" w:cs="Times New Roman"/>
          <w:color w:val="auto"/>
          <w:spacing w:val="0"/>
          <w:sz w:val="21"/>
          <w:szCs w:val="21"/>
          <w:highlight w:val="none"/>
        </w:rPr>
        <w:t>统筹基金累计结余可支付月数</w:t>
      </w:r>
      <w:r>
        <w:rPr>
          <w:rFonts w:hint="default" w:ascii="Times New Roman" w:hAnsi="Times New Roman" w:cs="Times New Roman"/>
          <w:color w:val="auto"/>
          <w:spacing w:val="0"/>
          <w:sz w:val="21"/>
          <w:szCs w:val="21"/>
          <w:highlight w:val="none"/>
          <w:lang w:eastAsia="zh-CN"/>
        </w:rPr>
        <w:t>为</w:t>
      </w:r>
      <w:r>
        <w:rPr>
          <w:rFonts w:hint="default" w:ascii="Times New Roman" w:hAnsi="Times New Roman" w:cs="Times New Roman"/>
          <w:color w:val="auto"/>
          <w:spacing w:val="0"/>
          <w:sz w:val="21"/>
          <w:szCs w:val="21"/>
          <w:highlight w:val="none"/>
        </w:rPr>
        <w:t>统筹基金累计结存</w:t>
      </w:r>
      <w:r>
        <w:rPr>
          <w:rFonts w:hint="default" w:ascii="Times New Roman" w:hAnsi="Times New Roman" w:cs="Times New Roman"/>
          <w:color w:val="auto"/>
          <w:spacing w:val="0"/>
          <w:sz w:val="21"/>
          <w:szCs w:val="21"/>
          <w:highlight w:val="none"/>
          <w:lang w:eastAsia="zh-CN"/>
        </w:rPr>
        <w:t>除以</w:t>
      </w:r>
      <w:r>
        <w:rPr>
          <w:rFonts w:hint="default" w:ascii="Times New Roman" w:hAnsi="Times New Roman" w:cs="Times New Roman"/>
          <w:color w:val="auto"/>
          <w:spacing w:val="0"/>
          <w:sz w:val="21"/>
          <w:szCs w:val="21"/>
          <w:highlight w:val="none"/>
        </w:rPr>
        <w:t>下年度基金月平均支出。</w:t>
      </w:r>
    </w:p>
    <w:p>
      <w:pPr>
        <w:keepNext w:val="0"/>
        <w:keepLines w:val="0"/>
        <w:pageBreakBefore w:val="0"/>
        <w:widowControl w:val="0"/>
        <w:kinsoku/>
        <w:wordWrap/>
        <w:overflowPunct w:val="0"/>
        <w:topLinePunct w:val="0"/>
        <w:autoSpaceDE/>
        <w:autoSpaceDN/>
        <w:bidi w:val="0"/>
        <w:adjustRightInd w:val="0"/>
        <w:snapToGrid w:val="0"/>
        <w:spacing w:line="360" w:lineRule="exact"/>
        <w:ind w:firstLine="630" w:firstLineChars="300"/>
        <w:textAlignment w:val="auto"/>
        <w:rPr>
          <w:rFonts w:hint="default" w:ascii="Times New Roman" w:hAnsi="Times New Roman" w:cs="Times New Roman"/>
          <w:color w:val="auto"/>
          <w:spacing w:val="0"/>
          <w:sz w:val="21"/>
          <w:szCs w:val="21"/>
          <w:highlight w:val="none"/>
          <w:lang w:val="en-US" w:eastAsia="zh-CN"/>
        </w:rPr>
      </w:pPr>
      <w:bookmarkStart w:id="197" w:name="_Toc31183"/>
      <w:bookmarkStart w:id="198" w:name="_Toc9255"/>
      <w:bookmarkStart w:id="199" w:name="_Toc5640"/>
      <w:bookmarkStart w:id="200" w:name="_Toc12740"/>
      <w:bookmarkStart w:id="201" w:name="_Toc31256"/>
      <w:bookmarkStart w:id="202" w:name="_Toc10338"/>
      <w:bookmarkStart w:id="203" w:name="_Toc19831"/>
      <w:bookmarkStart w:id="204" w:name="_Toc5015"/>
      <w:bookmarkStart w:id="205" w:name="_Toc8186"/>
      <w:bookmarkStart w:id="206" w:name="_Toc31087"/>
      <w:bookmarkStart w:id="207" w:name="_Toc12803"/>
      <w:bookmarkStart w:id="208" w:name="_Toc6924"/>
      <w:bookmarkStart w:id="209" w:name="_Toc19876"/>
      <w:bookmarkStart w:id="210" w:name="_Toc15754"/>
      <w:bookmarkStart w:id="211" w:name="_Toc3799"/>
      <w:bookmarkStart w:id="212" w:name="_Toc6041"/>
      <w:bookmarkStart w:id="213" w:name="_Toc32146"/>
      <w:bookmarkStart w:id="214" w:name="_Toc16407"/>
      <w:bookmarkStart w:id="215" w:name="_Toc9121"/>
      <w:bookmarkStart w:id="216" w:name="_Toc32132"/>
      <w:bookmarkStart w:id="217" w:name="_Toc29316"/>
      <w:bookmarkStart w:id="218" w:name="_Toc32061"/>
      <w:bookmarkStart w:id="219" w:name="_Toc7185"/>
      <w:r>
        <w:rPr>
          <w:rFonts w:hint="default" w:ascii="Times New Roman" w:hAnsi="Times New Roman" w:cs="Times New Roman"/>
          <w:color w:val="auto"/>
          <w:spacing w:val="0"/>
          <w:sz w:val="21"/>
          <w:szCs w:val="21"/>
          <w:highlight w:val="none"/>
          <w:lang w:val="en-US" w:eastAsia="zh-CN"/>
        </w:rPr>
        <w:t>③2025年安全线为18个月以上，根据国家基金运行管理要求动态调整。</w:t>
      </w:r>
    </w:p>
    <w:p>
      <w:pPr>
        <w:keepNext w:val="0"/>
        <w:keepLines w:val="0"/>
        <w:pageBreakBefore w:val="0"/>
        <w:widowControl w:val="0"/>
        <w:kinsoku/>
        <w:wordWrap/>
        <w:overflowPunct w:val="0"/>
        <w:topLinePunct w:val="0"/>
        <w:autoSpaceDE/>
        <w:autoSpaceDN/>
        <w:bidi w:val="0"/>
        <w:adjustRightInd w:val="0"/>
        <w:snapToGrid w:val="0"/>
        <w:spacing w:line="360" w:lineRule="exact"/>
        <w:ind w:firstLine="630" w:firstLineChars="300"/>
        <w:textAlignment w:val="auto"/>
        <w:outlineLvl w:val="9"/>
        <w:rPr>
          <w:rFonts w:hint="default" w:ascii="Times New Roman" w:hAnsi="Times New Roman" w:cs="Times New Roman"/>
          <w:color w:val="auto"/>
          <w:spacing w:val="0"/>
          <w:sz w:val="21"/>
          <w:szCs w:val="21"/>
          <w:highlight w:val="none"/>
          <w:lang w:val="en-US" w:eastAsia="zh-CN"/>
        </w:rPr>
      </w:pPr>
      <w:r>
        <w:rPr>
          <w:rFonts w:hint="default" w:ascii="Times New Roman" w:hAnsi="Times New Roman" w:cs="Times New Roman"/>
          <w:color w:val="auto"/>
          <w:spacing w:val="0"/>
          <w:sz w:val="21"/>
          <w:szCs w:val="21"/>
          <w:highlight w:val="none"/>
          <w:lang w:val="en-US" w:eastAsia="zh-CN"/>
        </w:rPr>
        <w:t>④2025年安全线为9个月以上，根据国家基金运行管理要求动态调整。</w:t>
      </w:r>
    </w:p>
    <w:p>
      <w:pPr>
        <w:keepNext w:val="0"/>
        <w:keepLines w:val="0"/>
        <w:pageBreakBefore w:val="0"/>
        <w:widowControl w:val="0"/>
        <w:kinsoku/>
        <w:wordWrap/>
        <w:overflowPunct w:val="0"/>
        <w:topLinePunct w:val="0"/>
        <w:autoSpaceDE/>
        <w:autoSpaceDN/>
        <w:bidi w:val="0"/>
        <w:adjustRightInd w:val="0"/>
        <w:snapToGrid w:val="0"/>
        <w:spacing w:before="0" w:beforeLines="0" w:line="578" w:lineRule="exact"/>
        <w:ind w:firstLine="624" w:firstLineChars="200"/>
        <w:jc w:val="both"/>
        <w:textAlignment w:val="auto"/>
        <w:outlineLvl w:val="9"/>
        <w:rPr>
          <w:rFonts w:hint="eastAsia" w:ascii="黑体" w:hAnsi="黑体" w:eastAsia="黑体" w:cs="黑体"/>
          <w:b w:val="0"/>
          <w:bCs w:val="0"/>
          <w:color w:val="auto"/>
          <w:spacing w:val="6"/>
          <w:sz w:val="30"/>
          <w:szCs w:val="30"/>
          <w:highlight w:val="none"/>
          <w:lang w:val="en-US" w:eastAsia="zh-CN"/>
        </w:rPr>
      </w:pPr>
      <w:bookmarkStart w:id="220" w:name="_Toc14342"/>
      <w:bookmarkStart w:id="221" w:name="_Toc25811"/>
      <w:bookmarkStart w:id="222" w:name="_Toc17627"/>
      <w:bookmarkStart w:id="223" w:name="_Toc10938"/>
      <w:bookmarkStart w:id="224" w:name="_Toc10713"/>
      <w:bookmarkStart w:id="225" w:name="_Toc12728"/>
      <w:bookmarkStart w:id="226" w:name="_Toc2594"/>
      <w:bookmarkStart w:id="227" w:name="_Toc21472"/>
      <w:bookmarkStart w:id="228" w:name="_Toc18003"/>
      <w:bookmarkStart w:id="229" w:name="_Toc2731"/>
      <w:bookmarkStart w:id="230" w:name="_Toc560045966"/>
      <w:bookmarkStart w:id="231" w:name="_Toc9296"/>
      <w:bookmarkStart w:id="232" w:name="_Toc2583"/>
      <w:bookmarkStart w:id="233" w:name="_Toc7048"/>
      <w:bookmarkStart w:id="234" w:name="_Toc9383"/>
      <w:bookmarkStart w:id="235" w:name="_Toc1487"/>
      <w:bookmarkStart w:id="236" w:name="_Toc30030"/>
      <w:bookmarkStart w:id="237" w:name="_Toc6026"/>
      <w:bookmarkStart w:id="238" w:name="_Toc1509"/>
      <w:bookmarkStart w:id="239" w:name="_Toc21630"/>
      <w:bookmarkStart w:id="240" w:name="_Toc24282"/>
      <w:bookmarkStart w:id="241" w:name="_Toc1839284306"/>
      <w:bookmarkStart w:id="242" w:name="_Toc18099"/>
      <w:bookmarkStart w:id="243" w:name="_Toc1444"/>
      <w:bookmarkStart w:id="244" w:name="_Toc25398"/>
      <w:bookmarkStart w:id="245" w:name="_Toc25825"/>
      <w:bookmarkStart w:id="246" w:name="_Toc29105"/>
      <w:r>
        <w:rPr>
          <w:rFonts w:hint="eastAsia" w:ascii="黑体" w:hAnsi="黑体" w:eastAsia="黑体" w:cs="黑体"/>
          <w:color w:val="auto"/>
          <w:spacing w:val="6"/>
          <w:sz w:val="30"/>
          <w:szCs w:val="30"/>
          <w:highlight w:val="none"/>
          <w:lang w:val="en-US" w:eastAsia="zh-CN"/>
        </w:rPr>
        <w:t>二、</w:t>
      </w:r>
      <w:r>
        <w:rPr>
          <w:rFonts w:hint="eastAsia" w:ascii="黑体" w:hAnsi="黑体" w:eastAsia="黑体" w:cs="黑体"/>
          <w:b w:val="0"/>
          <w:bCs w:val="0"/>
          <w:color w:val="auto"/>
          <w:spacing w:val="6"/>
          <w:sz w:val="30"/>
          <w:szCs w:val="30"/>
          <w:highlight w:val="none"/>
          <w:lang w:val="en-US" w:eastAsia="zh-CN"/>
        </w:rPr>
        <w:t>健全多层次医疗保障体系</w:t>
      </w:r>
      <w:bookmarkEnd w:id="197"/>
      <w:bookmarkEnd w:id="198"/>
      <w:bookmarkEnd w:id="199"/>
      <w:bookmarkEnd w:id="200"/>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keepNext w:val="0"/>
        <w:keepLines w:val="0"/>
        <w:pageBreakBefore w:val="0"/>
        <w:widowControl w:val="0"/>
        <w:kinsoku/>
        <w:wordWrap/>
        <w:overflowPunct w:val="0"/>
        <w:topLinePunct w:val="0"/>
        <w:autoSpaceDE/>
        <w:autoSpaceDN/>
        <w:bidi w:val="0"/>
        <w:adjustRightInd w:val="0"/>
        <w:snapToGrid w:val="0"/>
        <w:spacing w:beforeLines="0" w:line="586"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rPr>
        <w:t>持续健全多层次医疗保障体系，完善基本医保、大病保险、医疗救助三重保障制度，引导和支持商业医疗保险、慈善救助、医疗互助等协同</w:t>
      </w:r>
      <w:r>
        <w:rPr>
          <w:rFonts w:hint="eastAsia" w:ascii="仿宋_GB2312" w:hAnsi="仿宋_GB2312" w:eastAsia="仿宋_GB2312" w:cs="仿宋_GB2312"/>
          <w:color w:val="auto"/>
          <w:spacing w:val="6"/>
          <w:sz w:val="30"/>
          <w:szCs w:val="30"/>
          <w:highlight w:val="none"/>
          <w:lang w:val="en-US" w:eastAsia="zh-CN"/>
        </w:rPr>
        <w:t>发展</w:t>
      </w:r>
      <w:r>
        <w:rPr>
          <w:rFonts w:hint="eastAsia" w:ascii="仿宋_GB2312" w:hAnsi="仿宋_GB2312" w:eastAsia="仿宋_GB2312" w:cs="仿宋_GB2312"/>
          <w:color w:val="auto"/>
          <w:spacing w:val="6"/>
          <w:sz w:val="30"/>
          <w:szCs w:val="30"/>
          <w:highlight w:val="none"/>
        </w:rPr>
        <w:t>，推动形成各类保障制度边界清晰、衔接互补、功能协同的综合保障格局。</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line="586" w:lineRule="exact"/>
        <w:ind w:firstLine="624" w:firstLineChars="200"/>
        <w:jc w:val="both"/>
        <w:textAlignment w:val="auto"/>
        <w:outlineLvl w:val="9"/>
        <w:rPr>
          <w:rFonts w:hint="eastAsia" w:ascii="楷体_GB2312" w:hAnsi="楷体_GB2312" w:eastAsia="楷体_GB2312" w:cs="楷体_GB2312"/>
          <w:b w:val="0"/>
          <w:bCs w:val="0"/>
          <w:color w:val="auto"/>
          <w:spacing w:val="6"/>
          <w:sz w:val="30"/>
          <w:szCs w:val="30"/>
          <w:highlight w:val="none"/>
          <w:lang w:eastAsia="zh-CN"/>
        </w:rPr>
      </w:pPr>
      <w:bookmarkStart w:id="247" w:name="_Toc2393"/>
      <w:bookmarkStart w:id="248" w:name="_Toc27011"/>
      <w:bookmarkStart w:id="249" w:name="_Toc261"/>
      <w:bookmarkStart w:id="250" w:name="_Toc3579"/>
      <w:bookmarkStart w:id="251" w:name="_Toc3190"/>
      <w:bookmarkStart w:id="252" w:name="_Toc16493"/>
      <w:bookmarkStart w:id="253" w:name="_Toc27194"/>
      <w:bookmarkStart w:id="254" w:name="_Toc22658"/>
      <w:bookmarkStart w:id="255" w:name="_Toc21633"/>
      <w:bookmarkStart w:id="256" w:name="_Toc32465"/>
      <w:bookmarkStart w:id="257" w:name="_Toc9554"/>
      <w:bookmarkStart w:id="258" w:name="_Toc32142"/>
      <w:bookmarkStart w:id="259" w:name="_Toc9701"/>
      <w:bookmarkStart w:id="260" w:name="_Toc21987"/>
      <w:bookmarkStart w:id="261" w:name="_Toc19295"/>
      <w:bookmarkStart w:id="262" w:name="_Toc5074"/>
      <w:bookmarkStart w:id="263" w:name="_Toc7664"/>
      <w:bookmarkStart w:id="264" w:name="_Toc19193"/>
      <w:bookmarkStart w:id="265" w:name="_Toc27530"/>
      <w:bookmarkStart w:id="266" w:name="_Toc30410"/>
      <w:bookmarkStart w:id="267" w:name="_Toc649"/>
      <w:bookmarkStart w:id="268" w:name="_Toc371"/>
      <w:bookmarkStart w:id="269" w:name="_Toc13349"/>
      <w:bookmarkStart w:id="270" w:name="_Toc13092"/>
      <w:bookmarkStart w:id="271" w:name="_Toc198643840"/>
      <w:bookmarkStart w:id="272" w:name="_Toc1684439744"/>
      <w:bookmarkStart w:id="273" w:name="_Toc9912"/>
      <w:r>
        <w:rPr>
          <w:rFonts w:hint="eastAsia" w:ascii="楷体_GB2312" w:hAnsi="楷体_GB2312" w:eastAsia="楷体_GB2312" w:cs="楷体_GB2312"/>
          <w:b w:val="0"/>
          <w:bCs w:val="0"/>
          <w:color w:val="auto"/>
          <w:spacing w:val="6"/>
          <w:kern w:val="2"/>
          <w:sz w:val="30"/>
          <w:szCs w:val="30"/>
          <w:lang w:val="en-US" w:eastAsia="zh-CN" w:bidi="ar-SA"/>
        </w:rPr>
        <w:t>（四）</w:t>
      </w:r>
      <w:r>
        <w:rPr>
          <w:rFonts w:hint="eastAsia" w:ascii="楷体_GB2312" w:hAnsi="楷体_GB2312" w:eastAsia="楷体_GB2312" w:cs="楷体_GB2312"/>
          <w:b w:val="0"/>
          <w:bCs w:val="0"/>
          <w:color w:val="auto"/>
          <w:spacing w:val="6"/>
          <w:sz w:val="30"/>
          <w:szCs w:val="30"/>
          <w:highlight w:val="none"/>
        </w:rPr>
        <w:t>巩固完善基本医疗保险制度</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Fonts w:hint="eastAsia" w:ascii="楷体_GB2312" w:hAnsi="楷体_GB2312" w:eastAsia="楷体_GB2312" w:cs="楷体_GB2312"/>
          <w:b w:val="0"/>
          <w:bCs w:val="0"/>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6"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rPr>
        <w:t>健全政府主导、部门协同的参保工作推进机制，深入实施基本医疗保险全民参保计划。鼓励支持灵活就业人员、农民工、新就业形态人员等参加职工医保，稳步提高职工医保参保人数占比。顺畅参保关系转移接续，探索对婴幼儿参加基本医保提供资助</w:t>
      </w:r>
      <w:r>
        <w:rPr>
          <w:rFonts w:hint="eastAsia" w:ascii="仿宋_GB2312" w:hAnsi="仿宋_GB2312" w:eastAsia="仿宋_GB2312" w:cs="仿宋_GB2312"/>
          <w:color w:val="auto"/>
          <w:spacing w:val="6"/>
          <w:sz w:val="30"/>
          <w:szCs w:val="30"/>
          <w:highlight w:val="none"/>
          <w:lang w:eastAsia="zh-CN"/>
        </w:rPr>
        <w:t>、对困难群众按规定资助参保等政策，巩固扩大城乡居民参保覆盖面。</w:t>
      </w:r>
      <w:r>
        <w:rPr>
          <w:rFonts w:hint="eastAsia" w:ascii="仿宋_GB2312" w:hAnsi="仿宋_GB2312" w:eastAsia="仿宋_GB2312" w:cs="仿宋_GB2312"/>
          <w:color w:val="auto"/>
          <w:spacing w:val="6"/>
          <w:sz w:val="30"/>
          <w:szCs w:val="30"/>
          <w:highlight w:val="none"/>
        </w:rPr>
        <w:t>均衡个人、用人单位和政府筹资责任，推动多元筹资。根据国家统一部署，完善城乡居民基本医疗保险筹资机制，探索灵活多样的缴费模式，推动筹资水平与经济社会发展、财政可负担程度、居民人均可支配收入等相匹配</w:t>
      </w:r>
      <w:r>
        <w:rPr>
          <w:rFonts w:hint="eastAsia" w:ascii="仿宋_GB2312" w:hAnsi="仿宋_GB2312" w:eastAsia="仿宋_GB2312" w:cs="仿宋_GB2312"/>
          <w:color w:val="auto"/>
          <w:spacing w:val="6"/>
          <w:sz w:val="30"/>
          <w:szCs w:val="30"/>
          <w:highlight w:val="none"/>
          <w:lang w:val="en-US" w:eastAsia="zh-CN"/>
        </w:rPr>
        <w:t>。完善待遇调整机制，巩固基本医保待遇保障水平，强化门诊慢特病管理</w:t>
      </w:r>
      <w:r>
        <w:rPr>
          <w:rFonts w:hint="eastAsia" w:ascii="仿宋_GB2312" w:hAnsi="仿宋_GB2312" w:eastAsia="仿宋_GB2312" w:cs="仿宋_GB2312"/>
          <w:color w:val="auto"/>
          <w:spacing w:val="6"/>
          <w:sz w:val="30"/>
          <w:szCs w:val="30"/>
          <w:highlight w:val="none"/>
        </w:rPr>
        <w:t>。在基金可承受范围内</w:t>
      </w:r>
      <w:r>
        <w:rPr>
          <w:rFonts w:hint="eastAsia" w:ascii="仿宋_GB2312" w:hAnsi="仿宋_GB2312" w:eastAsia="仿宋_GB2312" w:cs="仿宋_GB2312"/>
          <w:color w:val="auto"/>
          <w:spacing w:val="6"/>
          <w:sz w:val="30"/>
          <w:szCs w:val="30"/>
          <w:highlight w:val="none"/>
          <w:lang w:eastAsia="zh-CN"/>
        </w:rPr>
        <w:t>优化</w:t>
      </w:r>
      <w:r>
        <w:rPr>
          <w:rFonts w:hint="eastAsia" w:ascii="仿宋_GB2312" w:hAnsi="仿宋_GB2312" w:eastAsia="仿宋_GB2312" w:cs="仿宋_GB2312"/>
          <w:color w:val="auto"/>
          <w:spacing w:val="6"/>
          <w:sz w:val="30"/>
          <w:szCs w:val="30"/>
          <w:highlight w:val="none"/>
        </w:rPr>
        <w:t>普通门诊</w:t>
      </w:r>
      <w:r>
        <w:rPr>
          <w:rFonts w:hint="eastAsia" w:ascii="仿宋_GB2312" w:hAnsi="仿宋_GB2312" w:eastAsia="仿宋_GB2312" w:cs="仿宋_GB2312"/>
          <w:color w:val="auto"/>
          <w:spacing w:val="6"/>
          <w:sz w:val="30"/>
          <w:szCs w:val="30"/>
          <w:highlight w:val="none"/>
          <w:lang w:eastAsia="zh-CN"/>
        </w:rPr>
        <w:t>待遇</w:t>
      </w:r>
      <w:r>
        <w:rPr>
          <w:rFonts w:hint="eastAsia" w:ascii="仿宋_GB2312" w:hAnsi="仿宋_GB2312" w:eastAsia="仿宋_GB2312" w:cs="仿宋_GB2312"/>
          <w:color w:val="auto"/>
          <w:spacing w:val="6"/>
          <w:sz w:val="30"/>
          <w:szCs w:val="30"/>
          <w:highlight w:val="none"/>
        </w:rPr>
        <w:t>保障。健全差异化医保报销机制，报销比例适度向基层倾斜。严格落实医疗保障待遇清单制度，</w:t>
      </w:r>
      <w:r>
        <w:rPr>
          <w:rFonts w:hint="eastAsia" w:ascii="仿宋_GB2312" w:hAnsi="仿宋_GB2312" w:eastAsia="仿宋_GB2312" w:cs="仿宋_GB2312"/>
          <w:color w:val="auto"/>
          <w:spacing w:val="6"/>
          <w:sz w:val="30"/>
          <w:szCs w:val="30"/>
          <w:highlight w:val="none"/>
          <w:lang w:eastAsia="zh-CN"/>
        </w:rPr>
        <w:t>对标国家医保待遇政策指引，</w:t>
      </w:r>
      <w:r>
        <w:rPr>
          <w:rFonts w:hint="eastAsia" w:ascii="仿宋_GB2312" w:hAnsi="仿宋_GB2312" w:eastAsia="仿宋_GB2312" w:cs="仿宋_GB2312"/>
          <w:color w:val="auto"/>
          <w:spacing w:val="6"/>
          <w:sz w:val="30"/>
          <w:szCs w:val="30"/>
          <w:highlight w:val="none"/>
        </w:rPr>
        <w:t>确保政策统一、标准统一、执行统一。</w:t>
      </w:r>
    </w:p>
    <w:p>
      <w:pPr>
        <w:keepNext w:val="0"/>
        <w:keepLines w:val="0"/>
        <w:pageBreakBefore w:val="0"/>
        <w:widowControl w:val="0"/>
        <w:kinsoku/>
        <w:wordWrap/>
        <w:overflowPunct w:val="0"/>
        <w:topLinePunct w:val="0"/>
        <w:autoSpaceDE/>
        <w:autoSpaceDN/>
        <w:bidi w:val="0"/>
        <w:adjustRightInd w:val="0"/>
        <w:snapToGrid w:val="0"/>
        <w:spacing w:beforeLines="0" w:line="576" w:lineRule="exact"/>
        <w:ind w:firstLine="624" w:firstLineChars="200"/>
        <w:textAlignment w:val="auto"/>
        <w:outlineLvl w:val="9"/>
        <w:rPr>
          <w:rFonts w:hint="eastAsia" w:ascii="楷体_GB2312" w:hAnsi="楷体_GB2312" w:eastAsia="楷体_GB2312" w:cs="楷体_GB2312"/>
          <w:b w:val="0"/>
          <w:bCs w:val="0"/>
          <w:color w:val="auto"/>
          <w:spacing w:val="6"/>
          <w:sz w:val="30"/>
          <w:szCs w:val="30"/>
          <w:highlight w:val="none"/>
          <w:lang w:eastAsia="zh-CN"/>
        </w:rPr>
      </w:pPr>
      <w:bookmarkStart w:id="274" w:name="_Toc2554"/>
      <w:bookmarkStart w:id="275" w:name="_Toc31406"/>
      <w:bookmarkStart w:id="276" w:name="_Toc17183"/>
      <w:bookmarkStart w:id="277" w:name="_Toc8614"/>
      <w:bookmarkStart w:id="278" w:name="_Toc2136"/>
      <w:bookmarkStart w:id="279" w:name="_Toc8158"/>
      <w:bookmarkStart w:id="280" w:name="_Toc2016"/>
      <w:bookmarkStart w:id="281" w:name="_Toc2494"/>
      <w:bookmarkStart w:id="282" w:name="_Toc5669"/>
      <w:bookmarkStart w:id="283" w:name="_Toc14907"/>
      <w:bookmarkStart w:id="284" w:name="_Toc25243"/>
      <w:bookmarkStart w:id="285" w:name="_Toc15629"/>
      <w:bookmarkStart w:id="286" w:name="_Toc32597"/>
      <w:bookmarkStart w:id="287" w:name="_Toc26304"/>
      <w:bookmarkStart w:id="288" w:name="_Toc18093"/>
      <w:bookmarkStart w:id="289" w:name="_Toc30206"/>
      <w:bookmarkStart w:id="290" w:name="_Toc14374"/>
      <w:bookmarkStart w:id="291" w:name="_Toc19728"/>
      <w:bookmarkStart w:id="292" w:name="_Toc14357"/>
      <w:bookmarkStart w:id="293" w:name="_Toc19111"/>
      <w:bookmarkStart w:id="294" w:name="_Toc20091"/>
      <w:r>
        <w:rPr>
          <w:rFonts w:hint="eastAsia" w:ascii="楷体_GB2312" w:hAnsi="楷体_GB2312" w:eastAsia="楷体_GB2312" w:cs="楷体_GB2312"/>
          <w:b w:val="0"/>
          <w:bCs w:val="0"/>
          <w:color w:val="auto"/>
          <w:spacing w:val="6"/>
          <w:sz w:val="30"/>
          <w:szCs w:val="30"/>
          <w:highlight w:val="none"/>
        </w:rPr>
        <w:t>（</w:t>
      </w:r>
      <w:r>
        <w:rPr>
          <w:rFonts w:hint="eastAsia" w:ascii="楷体_GB2312" w:hAnsi="楷体_GB2312" w:eastAsia="楷体_GB2312" w:cs="楷体_GB2312"/>
          <w:b w:val="0"/>
          <w:bCs w:val="0"/>
          <w:color w:val="auto"/>
          <w:spacing w:val="6"/>
          <w:sz w:val="30"/>
          <w:szCs w:val="30"/>
          <w:highlight w:val="none"/>
          <w:lang w:val="en-US" w:eastAsia="zh-CN"/>
        </w:rPr>
        <w:t>五</w:t>
      </w:r>
      <w:r>
        <w:rPr>
          <w:rFonts w:hint="eastAsia" w:ascii="楷体_GB2312" w:hAnsi="楷体_GB2312" w:eastAsia="楷体_GB2312" w:cs="楷体_GB2312"/>
          <w:b w:val="0"/>
          <w:bCs w:val="0"/>
          <w:color w:val="auto"/>
          <w:spacing w:val="6"/>
          <w:sz w:val="30"/>
          <w:szCs w:val="30"/>
          <w:highlight w:val="none"/>
        </w:rPr>
        <w:t>）提升大病保险和医疗救助制度保障效能</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Fonts w:hint="eastAsia" w:ascii="楷体_GB2312" w:hAnsi="楷体_GB2312" w:eastAsia="楷体_GB2312" w:cs="楷体_GB2312"/>
          <w:b w:val="0"/>
          <w:bCs w:val="0"/>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6"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eastAsia="zh-CN"/>
        </w:rPr>
        <w:t>按照“以收定支”要求调整完善我省</w:t>
      </w:r>
      <w:r>
        <w:rPr>
          <w:rFonts w:hint="eastAsia" w:ascii="仿宋_GB2312" w:hAnsi="仿宋_GB2312" w:eastAsia="仿宋_GB2312" w:cs="仿宋_GB2312"/>
          <w:color w:val="auto"/>
          <w:spacing w:val="6"/>
          <w:sz w:val="30"/>
          <w:szCs w:val="30"/>
          <w:highlight w:val="none"/>
        </w:rPr>
        <w:t>城乡居民大病保险制度，规范支付范围，合理</w:t>
      </w:r>
      <w:r>
        <w:rPr>
          <w:rFonts w:hint="eastAsia" w:ascii="仿宋_GB2312" w:hAnsi="仿宋_GB2312" w:eastAsia="仿宋_GB2312" w:cs="仿宋_GB2312"/>
          <w:color w:val="auto"/>
          <w:spacing w:val="6"/>
          <w:sz w:val="30"/>
          <w:szCs w:val="30"/>
          <w:highlight w:val="none"/>
          <w:lang w:eastAsia="zh-CN"/>
        </w:rPr>
        <w:t>设定</w:t>
      </w:r>
      <w:r>
        <w:rPr>
          <w:rFonts w:hint="eastAsia" w:ascii="仿宋_GB2312" w:hAnsi="仿宋_GB2312" w:eastAsia="仿宋_GB2312" w:cs="仿宋_GB2312"/>
          <w:color w:val="auto"/>
          <w:spacing w:val="6"/>
          <w:sz w:val="30"/>
          <w:szCs w:val="30"/>
          <w:highlight w:val="none"/>
        </w:rPr>
        <w:t>基金</w:t>
      </w:r>
      <w:r>
        <w:rPr>
          <w:rFonts w:hint="eastAsia" w:ascii="仿宋_GB2312" w:hAnsi="仿宋_GB2312" w:eastAsia="仿宋_GB2312" w:cs="仿宋_GB2312"/>
          <w:color w:val="auto"/>
          <w:spacing w:val="6"/>
          <w:sz w:val="30"/>
          <w:szCs w:val="30"/>
          <w:highlight w:val="none"/>
          <w:lang w:eastAsia="zh-CN"/>
        </w:rPr>
        <w:t>筹资</w:t>
      </w:r>
      <w:r>
        <w:rPr>
          <w:rFonts w:hint="eastAsia" w:ascii="仿宋_GB2312" w:hAnsi="仿宋_GB2312" w:eastAsia="仿宋_GB2312" w:cs="仿宋_GB2312"/>
          <w:color w:val="auto"/>
          <w:spacing w:val="6"/>
          <w:sz w:val="30"/>
          <w:szCs w:val="30"/>
          <w:highlight w:val="none"/>
        </w:rPr>
        <w:t>比例、起付标准、分段报销比例</w:t>
      </w:r>
      <w:r>
        <w:rPr>
          <w:rFonts w:hint="eastAsia" w:ascii="仿宋_GB2312" w:hAnsi="仿宋_GB2312" w:eastAsia="仿宋_GB2312" w:cs="仿宋_GB2312"/>
          <w:color w:val="auto"/>
          <w:spacing w:val="6"/>
          <w:sz w:val="30"/>
          <w:szCs w:val="30"/>
          <w:highlight w:val="none"/>
          <w:lang w:eastAsia="zh-CN"/>
        </w:rPr>
        <w:t>和</w:t>
      </w:r>
      <w:r>
        <w:rPr>
          <w:rFonts w:hint="eastAsia" w:ascii="仿宋_GB2312" w:hAnsi="仿宋_GB2312" w:eastAsia="仿宋_GB2312" w:cs="仿宋_GB2312"/>
          <w:color w:val="auto"/>
          <w:spacing w:val="6"/>
          <w:sz w:val="30"/>
          <w:szCs w:val="30"/>
          <w:highlight w:val="none"/>
        </w:rPr>
        <w:t>最高支付限额</w:t>
      </w:r>
      <w:r>
        <w:rPr>
          <w:rFonts w:hint="eastAsia" w:ascii="仿宋_GB2312" w:hAnsi="仿宋_GB2312" w:eastAsia="仿宋_GB2312" w:cs="仿宋_GB2312"/>
          <w:color w:val="auto"/>
          <w:spacing w:val="6"/>
          <w:sz w:val="30"/>
          <w:szCs w:val="30"/>
          <w:highlight w:val="none"/>
          <w:lang w:eastAsia="zh-CN"/>
        </w:rPr>
        <w:t>，逐步实现“收支平衡、略有结余”目标</w:t>
      </w:r>
      <w:r>
        <w:rPr>
          <w:rFonts w:hint="eastAsia" w:ascii="仿宋_GB2312" w:hAnsi="仿宋_GB2312" w:eastAsia="仿宋_GB2312" w:cs="仿宋_GB2312"/>
          <w:color w:val="auto"/>
          <w:spacing w:val="6"/>
          <w:sz w:val="30"/>
          <w:szCs w:val="30"/>
          <w:highlight w:val="none"/>
        </w:rPr>
        <w:t>。探索居民大病保险与职工大</w:t>
      </w:r>
      <w:r>
        <w:rPr>
          <w:rFonts w:hint="eastAsia" w:ascii="仿宋_GB2312" w:hAnsi="仿宋_GB2312" w:eastAsia="仿宋_GB2312" w:cs="仿宋_GB2312"/>
          <w:color w:val="auto"/>
          <w:spacing w:val="6"/>
          <w:sz w:val="30"/>
          <w:szCs w:val="30"/>
          <w:highlight w:val="none"/>
          <w:lang w:eastAsia="zh-CN"/>
        </w:rPr>
        <w:t>额医疗费用补助</w:t>
      </w:r>
      <w:r>
        <w:rPr>
          <w:rFonts w:hint="eastAsia" w:ascii="仿宋_GB2312" w:hAnsi="仿宋_GB2312" w:eastAsia="仿宋_GB2312" w:cs="仿宋_GB2312"/>
          <w:color w:val="auto"/>
          <w:spacing w:val="6"/>
          <w:sz w:val="30"/>
          <w:szCs w:val="30"/>
          <w:highlight w:val="none"/>
        </w:rPr>
        <w:t>融合</w:t>
      </w:r>
      <w:r>
        <w:rPr>
          <w:rFonts w:hint="eastAsia" w:ascii="仿宋_GB2312" w:hAnsi="仿宋_GB2312" w:eastAsia="仿宋_GB2312" w:cs="仿宋_GB2312"/>
          <w:color w:val="auto"/>
          <w:spacing w:val="6"/>
          <w:sz w:val="30"/>
          <w:szCs w:val="30"/>
          <w:highlight w:val="none"/>
          <w:lang w:eastAsia="zh-CN"/>
        </w:rPr>
        <w:t>机制</w:t>
      </w:r>
      <w:r>
        <w:rPr>
          <w:rFonts w:hint="eastAsia" w:ascii="仿宋_GB2312" w:hAnsi="仿宋_GB2312" w:eastAsia="仿宋_GB2312" w:cs="仿宋_GB2312"/>
          <w:color w:val="auto"/>
          <w:spacing w:val="6"/>
          <w:sz w:val="30"/>
          <w:szCs w:val="30"/>
          <w:highlight w:val="none"/>
        </w:rPr>
        <w:t>，</w:t>
      </w:r>
      <w:r>
        <w:rPr>
          <w:rFonts w:hint="eastAsia" w:ascii="仿宋_GB2312" w:hAnsi="仿宋_GB2312" w:eastAsia="仿宋_GB2312" w:cs="仿宋_GB2312"/>
          <w:color w:val="auto"/>
          <w:spacing w:val="6"/>
          <w:sz w:val="30"/>
          <w:szCs w:val="30"/>
          <w:highlight w:val="none"/>
          <w:lang w:eastAsia="zh-CN"/>
        </w:rPr>
        <w:t>不断提高参保人重特大疾病保障能力</w:t>
      </w:r>
      <w:r>
        <w:rPr>
          <w:rFonts w:hint="eastAsia" w:ascii="仿宋_GB2312" w:hAnsi="仿宋_GB2312" w:eastAsia="仿宋_GB2312" w:cs="仿宋_GB2312"/>
          <w:color w:val="auto"/>
          <w:spacing w:val="6"/>
          <w:sz w:val="30"/>
          <w:szCs w:val="30"/>
          <w:highlight w:val="none"/>
        </w:rPr>
        <w:t>。</w:t>
      </w:r>
      <w:r>
        <w:rPr>
          <w:rFonts w:hint="eastAsia" w:ascii="仿宋_GB2312" w:hAnsi="仿宋_GB2312" w:eastAsia="仿宋_GB2312" w:cs="仿宋_GB2312"/>
          <w:color w:val="auto"/>
          <w:spacing w:val="6"/>
          <w:sz w:val="30"/>
          <w:szCs w:val="30"/>
          <w:highlight w:val="none"/>
          <w:lang w:eastAsia="zh-CN"/>
        </w:rPr>
        <w:t>完善医疗救助制度，落实</w:t>
      </w:r>
      <w:r>
        <w:rPr>
          <w:rFonts w:hint="eastAsia" w:ascii="仿宋_GB2312" w:hAnsi="仿宋_GB2312" w:eastAsia="仿宋_GB2312" w:cs="仿宋_GB2312"/>
          <w:color w:val="auto"/>
          <w:spacing w:val="6"/>
          <w:sz w:val="30"/>
          <w:szCs w:val="30"/>
          <w:highlight w:val="none"/>
        </w:rPr>
        <w:t>常态化帮扶措施，健全防范化解因病返贫致贫长效机制</w:t>
      </w:r>
      <w:r>
        <w:rPr>
          <w:rFonts w:hint="eastAsia" w:ascii="仿宋_GB2312" w:hAnsi="仿宋_GB2312" w:eastAsia="仿宋_GB2312" w:cs="仿宋_GB2312"/>
          <w:color w:val="auto"/>
          <w:spacing w:val="6"/>
          <w:sz w:val="30"/>
          <w:szCs w:val="30"/>
          <w:highlight w:val="none"/>
          <w:lang w:eastAsia="zh-CN"/>
        </w:rPr>
        <w:t>，加强救助对象信息共享和监测预警。</w:t>
      </w:r>
    </w:p>
    <w:p>
      <w:pPr>
        <w:keepNext w:val="0"/>
        <w:keepLines w:val="0"/>
        <w:pageBreakBefore w:val="0"/>
        <w:widowControl w:val="0"/>
        <w:kinsoku/>
        <w:wordWrap/>
        <w:overflowPunct w:val="0"/>
        <w:topLinePunct w:val="0"/>
        <w:autoSpaceDE/>
        <w:autoSpaceDN/>
        <w:bidi w:val="0"/>
        <w:adjustRightInd w:val="0"/>
        <w:snapToGrid w:val="0"/>
        <w:spacing w:beforeLines="0" w:line="576" w:lineRule="exact"/>
        <w:ind w:firstLine="624" w:firstLineChars="200"/>
        <w:textAlignment w:val="auto"/>
        <w:outlineLvl w:val="9"/>
        <w:rPr>
          <w:rFonts w:hint="eastAsia" w:ascii="楷体_GB2312" w:hAnsi="楷体_GB2312" w:eastAsia="楷体_GB2312" w:cs="楷体_GB2312"/>
          <w:b/>
          <w:bCs/>
          <w:color w:val="auto"/>
          <w:spacing w:val="6"/>
          <w:sz w:val="30"/>
          <w:szCs w:val="30"/>
          <w:highlight w:val="none"/>
          <w:lang w:val="en-US" w:eastAsia="zh-CN"/>
        </w:rPr>
      </w:pPr>
      <w:bookmarkStart w:id="295" w:name="_Toc20970"/>
      <w:bookmarkStart w:id="296" w:name="_Toc19600"/>
      <w:bookmarkStart w:id="297" w:name="_Toc28492"/>
      <w:bookmarkStart w:id="298" w:name="_Toc5629"/>
      <w:bookmarkStart w:id="299" w:name="_Toc9623"/>
      <w:bookmarkStart w:id="300" w:name="_Toc26669"/>
      <w:bookmarkStart w:id="301" w:name="_Toc3818"/>
      <w:bookmarkStart w:id="302" w:name="_Toc57"/>
      <w:bookmarkStart w:id="303" w:name="_Toc3458"/>
      <w:bookmarkStart w:id="304" w:name="_Toc15175"/>
      <w:bookmarkStart w:id="305" w:name="_Toc9853"/>
      <w:bookmarkStart w:id="306" w:name="_Toc22964"/>
      <w:bookmarkStart w:id="307" w:name="_Toc20962"/>
      <w:bookmarkStart w:id="308" w:name="_Toc32287"/>
      <w:bookmarkStart w:id="309" w:name="_Toc23136"/>
      <w:bookmarkStart w:id="310" w:name="_Toc31547"/>
      <w:bookmarkStart w:id="311" w:name="_Toc25136"/>
      <w:bookmarkStart w:id="312" w:name="_Toc23285"/>
      <w:bookmarkStart w:id="313" w:name="_Toc10950"/>
      <w:bookmarkStart w:id="314" w:name="_Toc2456"/>
      <w:bookmarkStart w:id="315" w:name="_Toc9518"/>
      <w:r>
        <w:rPr>
          <w:rFonts w:hint="eastAsia" w:ascii="楷体_GB2312" w:hAnsi="楷体_GB2312" w:eastAsia="楷体_GB2312" w:cs="楷体_GB2312"/>
          <w:b w:val="0"/>
          <w:bCs w:val="0"/>
          <w:color w:val="auto"/>
          <w:spacing w:val="6"/>
          <w:kern w:val="2"/>
          <w:sz w:val="30"/>
          <w:szCs w:val="30"/>
          <w:highlight w:val="none"/>
          <w:lang w:val="en-US" w:eastAsia="zh-CN" w:bidi="ar-SA"/>
        </w:rPr>
        <w:t>（六）完善</w:t>
      </w:r>
      <w:r>
        <w:rPr>
          <w:rFonts w:hint="eastAsia" w:ascii="楷体_GB2312" w:hAnsi="楷体_GB2312" w:eastAsia="楷体_GB2312" w:cs="楷体_GB2312"/>
          <w:b w:val="0"/>
          <w:bCs w:val="0"/>
          <w:color w:val="auto"/>
          <w:spacing w:val="6"/>
          <w:sz w:val="30"/>
          <w:szCs w:val="30"/>
          <w:highlight w:val="none"/>
          <w:lang w:val="en-US" w:eastAsia="zh-CN"/>
        </w:rPr>
        <w:t>生育保险制度</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Fonts w:hint="eastAsia" w:ascii="楷体_GB2312" w:hAnsi="楷体_GB2312" w:eastAsia="楷体_GB2312" w:cs="楷体_GB2312"/>
          <w:b w:val="0"/>
          <w:bCs w:val="0"/>
          <w:color w:val="auto"/>
          <w:spacing w:val="6"/>
          <w:sz w:val="30"/>
          <w:szCs w:val="30"/>
          <w:highlight w:val="none"/>
          <w:lang w:val="en-US"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6"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lang w:val="en-US" w:eastAsia="zh-CN"/>
        </w:rPr>
        <w:t>推动</w:t>
      </w:r>
      <w:r>
        <w:rPr>
          <w:rFonts w:hint="eastAsia" w:ascii="仿宋_GB2312" w:hAnsi="仿宋_GB2312" w:eastAsia="仿宋_GB2312" w:cs="仿宋_GB2312"/>
          <w:color w:val="auto"/>
          <w:spacing w:val="6"/>
          <w:sz w:val="30"/>
          <w:szCs w:val="30"/>
          <w:highlight w:val="none"/>
        </w:rPr>
        <w:t>修订</w:t>
      </w:r>
      <w:r>
        <w:rPr>
          <w:rFonts w:hint="eastAsia" w:ascii="仿宋_GB2312" w:hAnsi="仿宋_GB2312" w:eastAsia="仿宋_GB2312" w:cs="仿宋_GB2312"/>
          <w:color w:val="auto"/>
          <w:spacing w:val="6"/>
          <w:sz w:val="30"/>
          <w:szCs w:val="30"/>
          <w:highlight w:val="none"/>
          <w:lang w:eastAsia="zh-CN"/>
        </w:rPr>
        <w:t>完善我省</w:t>
      </w:r>
      <w:r>
        <w:rPr>
          <w:rFonts w:hint="eastAsia" w:ascii="仿宋_GB2312" w:hAnsi="仿宋_GB2312" w:eastAsia="仿宋_GB2312" w:cs="仿宋_GB2312"/>
          <w:color w:val="auto"/>
          <w:spacing w:val="6"/>
          <w:sz w:val="30"/>
          <w:szCs w:val="30"/>
          <w:highlight w:val="none"/>
        </w:rPr>
        <w:t>生育保险条例</w:t>
      </w:r>
      <w:r>
        <w:rPr>
          <w:rFonts w:hint="eastAsia" w:ascii="仿宋_GB2312" w:hAnsi="仿宋_GB2312" w:eastAsia="仿宋_GB2312" w:cs="仿宋_GB2312"/>
          <w:color w:val="auto"/>
          <w:spacing w:val="6"/>
          <w:sz w:val="30"/>
          <w:szCs w:val="30"/>
          <w:highlight w:val="none"/>
          <w:lang w:eastAsia="zh-CN"/>
        </w:rPr>
        <w:t>及其实施细则</w:t>
      </w:r>
      <w:r>
        <w:rPr>
          <w:rFonts w:hint="eastAsia" w:ascii="仿宋_GB2312" w:hAnsi="仿宋_GB2312" w:eastAsia="仿宋_GB2312" w:cs="仿宋_GB2312"/>
          <w:color w:val="auto"/>
          <w:spacing w:val="6"/>
          <w:sz w:val="30"/>
          <w:szCs w:val="30"/>
          <w:highlight w:val="none"/>
        </w:rPr>
        <w:t>，</w:t>
      </w:r>
      <w:r>
        <w:rPr>
          <w:rFonts w:hint="eastAsia" w:ascii="仿宋_GB2312" w:hAnsi="仿宋_GB2312" w:eastAsia="仿宋_GB2312" w:cs="仿宋_GB2312"/>
          <w:color w:val="auto"/>
          <w:spacing w:val="6"/>
          <w:sz w:val="30"/>
          <w:szCs w:val="30"/>
          <w:highlight w:val="none"/>
          <w:lang w:val="en-US" w:eastAsia="zh-CN"/>
        </w:rPr>
        <w:t>规范生育津贴计发</w:t>
      </w:r>
      <w:r>
        <w:rPr>
          <w:rFonts w:hint="eastAsia" w:ascii="仿宋_GB2312" w:hAnsi="仿宋_GB2312" w:eastAsia="仿宋_GB2312" w:cs="仿宋_GB2312"/>
          <w:color w:val="auto"/>
          <w:spacing w:val="6"/>
          <w:sz w:val="30"/>
          <w:szCs w:val="30"/>
          <w:highlight w:val="none"/>
          <w:lang w:eastAsia="zh-CN"/>
        </w:rPr>
        <w:t>标准，</w:t>
      </w:r>
      <w:r>
        <w:rPr>
          <w:rFonts w:hint="eastAsia" w:ascii="仿宋_GB2312" w:hAnsi="仿宋_GB2312" w:eastAsia="仿宋_GB2312" w:cs="仿宋_GB2312"/>
          <w:color w:val="auto"/>
          <w:spacing w:val="6"/>
          <w:sz w:val="30"/>
          <w:szCs w:val="30"/>
          <w:highlight w:val="none"/>
          <w:lang w:val="en-US" w:eastAsia="zh-CN"/>
        </w:rPr>
        <w:t>优化生育津贴发放方</w:t>
      </w:r>
      <w:r>
        <w:rPr>
          <w:rFonts w:hint="eastAsia" w:ascii="仿宋_GB2312" w:hAnsi="仿宋_GB2312" w:eastAsia="仿宋_GB2312" w:cs="仿宋_GB2312"/>
          <w:color w:val="auto"/>
          <w:spacing w:val="6"/>
          <w:sz w:val="30"/>
          <w:szCs w:val="30"/>
          <w:highlight w:val="none"/>
          <w:lang w:eastAsia="zh-CN"/>
        </w:rPr>
        <w:t>式，</w:t>
      </w:r>
      <w:r>
        <w:rPr>
          <w:rFonts w:hint="eastAsia" w:ascii="仿宋_GB2312" w:hAnsi="仿宋_GB2312" w:eastAsia="仿宋_GB2312" w:cs="仿宋_GB2312"/>
          <w:color w:val="auto"/>
          <w:spacing w:val="6"/>
          <w:sz w:val="30"/>
          <w:szCs w:val="30"/>
          <w:highlight w:val="none"/>
          <w:lang w:val="en-US" w:eastAsia="zh-CN"/>
        </w:rPr>
        <w:t>扩大制度覆盖范围</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lang w:val="en-US" w:eastAsia="zh-CN"/>
        </w:rPr>
        <w:t>厘清部门管理职责</w:t>
      </w:r>
      <w:r>
        <w:rPr>
          <w:rFonts w:hint="eastAsia" w:ascii="仿宋_GB2312" w:hAnsi="仿宋_GB2312" w:eastAsia="仿宋_GB2312" w:cs="仿宋_GB2312"/>
          <w:color w:val="auto"/>
          <w:spacing w:val="6"/>
          <w:sz w:val="30"/>
          <w:szCs w:val="30"/>
          <w:highlight w:val="none"/>
          <w:lang w:eastAsia="zh-CN"/>
        </w:rPr>
        <w:t>。逐步将参加职工基本医疗保险的灵活就业人员、农民工、新就业形态人员纳入生育保险</w:t>
      </w:r>
      <w:r>
        <w:rPr>
          <w:rFonts w:hint="eastAsia" w:ascii="仿宋_GB2312" w:hAnsi="仿宋_GB2312" w:eastAsia="仿宋_GB2312" w:cs="仿宋_GB2312"/>
          <w:color w:val="auto"/>
          <w:spacing w:val="6"/>
          <w:sz w:val="30"/>
          <w:szCs w:val="30"/>
          <w:highlight w:val="none"/>
          <w:lang w:val="en-US" w:eastAsia="zh-CN"/>
        </w:rPr>
        <w:t>保障</w:t>
      </w:r>
      <w:r>
        <w:rPr>
          <w:rFonts w:hint="eastAsia" w:ascii="仿宋_GB2312" w:hAnsi="仿宋_GB2312" w:eastAsia="仿宋_GB2312" w:cs="仿宋_GB2312"/>
          <w:color w:val="auto"/>
          <w:spacing w:val="6"/>
          <w:sz w:val="30"/>
          <w:szCs w:val="30"/>
          <w:highlight w:val="none"/>
          <w:lang w:eastAsia="zh-CN"/>
        </w:rPr>
        <w:t>范围</w:t>
      </w:r>
      <w:r>
        <w:rPr>
          <w:rFonts w:hint="eastAsia" w:ascii="仿宋_GB2312" w:hAnsi="仿宋_GB2312" w:eastAsia="仿宋_GB2312" w:cs="仿宋_GB2312"/>
          <w:color w:val="auto"/>
          <w:spacing w:val="6"/>
          <w:sz w:val="30"/>
          <w:szCs w:val="30"/>
          <w:highlight w:val="none"/>
        </w:rPr>
        <w:t>。</w:t>
      </w:r>
      <w:r>
        <w:rPr>
          <w:rFonts w:hint="eastAsia" w:ascii="仿宋_GB2312" w:hAnsi="仿宋_GB2312" w:eastAsia="仿宋_GB2312" w:cs="仿宋_GB2312"/>
          <w:color w:val="auto"/>
          <w:spacing w:val="6"/>
          <w:sz w:val="30"/>
          <w:szCs w:val="30"/>
          <w:highlight w:val="none"/>
          <w:lang w:val="en-US" w:eastAsia="zh-CN"/>
        </w:rPr>
        <w:t>坚持生育友好的政策取向，根据我省经济社会发展，在基金可承受范围内，适时调整生育医疗费用保障政策，推动生育保险政策范围内住院分娩个人“无自付”</w:t>
      </w:r>
      <w:r>
        <w:rPr>
          <w:rFonts w:hint="eastAsia" w:ascii="仿宋_GB2312" w:hAnsi="仿宋_GB2312" w:eastAsia="仿宋_GB2312" w:cs="仿宋_GB2312"/>
          <w:color w:val="auto"/>
          <w:spacing w:val="6"/>
          <w:sz w:val="30"/>
          <w:szCs w:val="30"/>
          <w:highlight w:val="none"/>
        </w:rPr>
        <w:t>。</w:t>
      </w:r>
      <w:r>
        <w:rPr>
          <w:rFonts w:hint="eastAsia" w:ascii="仿宋_GB2312" w:hAnsi="仿宋_GB2312" w:eastAsia="仿宋_GB2312" w:cs="仿宋_GB2312"/>
          <w:color w:val="auto"/>
          <w:spacing w:val="6"/>
          <w:sz w:val="30"/>
          <w:szCs w:val="30"/>
          <w:highlight w:val="none"/>
          <w:lang w:eastAsia="zh-CN"/>
        </w:rPr>
        <w:t>加强与卫生健康部门生育支持政策协同联动，根据国家统一部署，将适宜的分娩镇痛生育医疗服务项目逐步纳入支付范围。</w:t>
      </w:r>
      <w:r>
        <w:rPr>
          <w:rFonts w:hint="eastAsia" w:ascii="仿宋_GB2312" w:hAnsi="仿宋_GB2312" w:eastAsia="仿宋_GB2312" w:cs="仿宋_GB2312"/>
          <w:color w:val="auto"/>
          <w:spacing w:val="6"/>
          <w:sz w:val="30"/>
          <w:szCs w:val="30"/>
          <w:highlight w:val="none"/>
          <w:lang w:val="en-US" w:eastAsia="zh-CN"/>
        </w:rPr>
        <w:t>依托城乡居民基本医疗保险体系，在保障基金平稳运行情况下逐步完善婴幼儿、低龄儿童医疗保障政策体系</w:t>
      </w:r>
      <w:r>
        <w:rPr>
          <w:rFonts w:hint="eastAsia" w:ascii="仿宋_GB2312" w:hAnsi="仿宋_GB2312" w:eastAsia="仿宋_GB2312" w:cs="仿宋_GB2312"/>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textAlignment w:val="auto"/>
        <w:outlineLvl w:val="9"/>
        <w:rPr>
          <w:rFonts w:hint="eastAsia" w:ascii="楷体_GB2312" w:hAnsi="楷体_GB2312" w:eastAsia="楷体_GB2312" w:cs="楷体_GB2312"/>
          <w:b w:val="0"/>
          <w:bCs w:val="0"/>
          <w:color w:val="auto"/>
          <w:spacing w:val="6"/>
          <w:sz w:val="30"/>
          <w:szCs w:val="30"/>
          <w:highlight w:val="none"/>
          <w:lang w:eastAsia="zh-CN"/>
        </w:rPr>
      </w:pPr>
      <w:bookmarkStart w:id="316" w:name="_Toc11175"/>
      <w:bookmarkStart w:id="317" w:name="_Toc18014"/>
      <w:bookmarkStart w:id="318" w:name="_Toc16712"/>
      <w:bookmarkStart w:id="319" w:name="_Toc27391"/>
      <w:bookmarkStart w:id="320" w:name="_Toc9058"/>
      <w:bookmarkStart w:id="321" w:name="_Toc5046"/>
      <w:bookmarkStart w:id="322" w:name="_Toc29373"/>
      <w:bookmarkStart w:id="323" w:name="_Toc1045"/>
      <w:bookmarkStart w:id="324" w:name="_Toc21476"/>
      <w:bookmarkStart w:id="325" w:name="_Toc9128"/>
      <w:bookmarkStart w:id="326" w:name="_Toc31105"/>
      <w:bookmarkStart w:id="327" w:name="_Toc18017"/>
      <w:bookmarkStart w:id="328" w:name="_Toc5791"/>
      <w:bookmarkStart w:id="329" w:name="_Toc9894"/>
      <w:bookmarkStart w:id="330" w:name="_Toc25666"/>
      <w:bookmarkStart w:id="331" w:name="_Toc31217"/>
      <w:bookmarkStart w:id="332" w:name="_Toc27674"/>
      <w:bookmarkStart w:id="333" w:name="_Toc23391"/>
      <w:bookmarkStart w:id="334" w:name="_Toc2497"/>
      <w:bookmarkStart w:id="335" w:name="_Toc22033"/>
      <w:bookmarkStart w:id="336" w:name="_Toc14924"/>
      <w:r>
        <w:rPr>
          <w:rFonts w:hint="eastAsia" w:ascii="楷体_GB2312" w:hAnsi="楷体_GB2312" w:eastAsia="楷体_GB2312" w:cs="楷体_GB2312"/>
          <w:b w:val="0"/>
          <w:bCs w:val="0"/>
          <w:color w:val="auto"/>
          <w:spacing w:val="6"/>
          <w:sz w:val="30"/>
          <w:szCs w:val="30"/>
          <w:highlight w:val="none"/>
          <w:lang w:val="en-US" w:eastAsia="zh-CN"/>
        </w:rPr>
        <w:t>（七）推动商业医疗保险发展</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Fonts w:hint="eastAsia" w:ascii="楷体_GB2312" w:hAnsi="楷体_GB2312" w:eastAsia="楷体_GB2312" w:cs="楷体_GB2312"/>
          <w:b w:val="0"/>
          <w:bCs w:val="0"/>
          <w:color w:val="auto"/>
          <w:spacing w:val="6"/>
          <w:sz w:val="30"/>
          <w:szCs w:val="30"/>
          <w:highlight w:val="none"/>
          <w:lang w:val="en-US"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积极支持商业医疗保险发展</w:t>
      </w:r>
      <w:r>
        <w:rPr>
          <w:rFonts w:hint="eastAsia" w:ascii="仿宋_GB2312" w:hAnsi="仿宋_GB2312" w:eastAsia="仿宋_GB2312" w:cs="仿宋_GB2312"/>
          <w:color w:val="auto"/>
          <w:spacing w:val="6"/>
          <w:sz w:val="30"/>
          <w:szCs w:val="30"/>
          <w:highlight w:val="none"/>
          <w:lang w:eastAsia="zh-CN"/>
        </w:rPr>
        <w:t>，完善医保、金融监管等部门协同机制，引导商业医疗保险与基本医疗保险衔接互补、差异化发展</w:t>
      </w:r>
      <w:r>
        <w:rPr>
          <w:rFonts w:hint="eastAsia" w:ascii="仿宋_GB2312" w:hAnsi="仿宋_GB2312" w:eastAsia="仿宋_GB2312" w:cs="仿宋_GB2312"/>
          <w:color w:val="auto"/>
          <w:spacing w:val="6"/>
          <w:sz w:val="30"/>
          <w:szCs w:val="30"/>
          <w:highlight w:val="none"/>
        </w:rPr>
        <w:t>。</w:t>
      </w:r>
      <w:r>
        <w:rPr>
          <w:rFonts w:hint="eastAsia" w:ascii="仿宋_GB2312" w:hAnsi="仿宋_GB2312" w:eastAsia="仿宋_GB2312" w:cs="仿宋_GB2312"/>
          <w:color w:val="auto"/>
          <w:spacing w:val="6"/>
          <w:sz w:val="30"/>
          <w:szCs w:val="30"/>
          <w:highlight w:val="none"/>
          <w:lang w:eastAsia="zh-CN"/>
        </w:rPr>
        <w:t>依法依规</w:t>
      </w:r>
      <w:r>
        <w:rPr>
          <w:rFonts w:hint="eastAsia" w:ascii="仿宋_GB2312" w:hAnsi="仿宋_GB2312" w:eastAsia="仿宋_GB2312" w:cs="仿宋_GB2312"/>
          <w:color w:val="auto"/>
          <w:spacing w:val="6"/>
          <w:sz w:val="30"/>
          <w:szCs w:val="30"/>
          <w:highlight w:val="none"/>
        </w:rPr>
        <w:t>支持优化</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惠琼保</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乐城特药险</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等</w:t>
      </w:r>
      <w:r>
        <w:rPr>
          <w:rFonts w:hint="eastAsia" w:ascii="仿宋_GB2312" w:hAnsi="仿宋_GB2312" w:eastAsia="仿宋_GB2312" w:cs="仿宋_GB2312"/>
          <w:color w:val="auto"/>
          <w:spacing w:val="6"/>
          <w:sz w:val="30"/>
          <w:szCs w:val="30"/>
          <w:highlight w:val="none"/>
          <w:lang w:eastAsia="zh-CN"/>
        </w:rPr>
        <w:t>现有</w:t>
      </w:r>
      <w:r>
        <w:rPr>
          <w:rFonts w:hint="eastAsia" w:ascii="仿宋_GB2312" w:hAnsi="仿宋_GB2312" w:eastAsia="仿宋_GB2312" w:cs="仿宋_GB2312"/>
          <w:color w:val="auto"/>
          <w:spacing w:val="6"/>
          <w:sz w:val="30"/>
          <w:szCs w:val="30"/>
          <w:highlight w:val="none"/>
        </w:rPr>
        <w:t>产品设计，</w:t>
      </w:r>
      <w:r>
        <w:rPr>
          <w:rFonts w:hint="eastAsia" w:ascii="仿宋_GB2312" w:hAnsi="仿宋_GB2312" w:eastAsia="仿宋_GB2312" w:cs="仿宋_GB2312"/>
          <w:color w:val="auto"/>
          <w:spacing w:val="6"/>
          <w:sz w:val="30"/>
          <w:szCs w:val="30"/>
          <w:highlight w:val="none"/>
          <w:lang w:eastAsia="zh-CN"/>
        </w:rPr>
        <w:t>加强对</w:t>
      </w:r>
      <w:r>
        <w:rPr>
          <w:rFonts w:hint="eastAsia" w:ascii="仿宋_GB2312" w:hAnsi="仿宋_GB2312" w:eastAsia="仿宋_GB2312" w:cs="仿宋_GB2312"/>
          <w:color w:val="auto"/>
          <w:spacing w:val="6"/>
          <w:sz w:val="30"/>
          <w:szCs w:val="30"/>
          <w:highlight w:val="none"/>
        </w:rPr>
        <w:t>创新药械</w:t>
      </w:r>
      <w:r>
        <w:rPr>
          <w:rFonts w:hint="eastAsia" w:ascii="仿宋_GB2312" w:hAnsi="仿宋_GB2312" w:eastAsia="仿宋_GB2312" w:cs="仿宋_GB2312"/>
          <w:color w:val="auto"/>
          <w:spacing w:val="6"/>
          <w:sz w:val="30"/>
          <w:szCs w:val="30"/>
          <w:highlight w:val="none"/>
          <w:lang w:eastAsia="zh-CN"/>
        </w:rPr>
        <w:t>和先进</w:t>
      </w:r>
      <w:r>
        <w:rPr>
          <w:rFonts w:hint="eastAsia" w:ascii="仿宋_GB2312" w:hAnsi="仿宋_GB2312" w:eastAsia="仿宋_GB2312" w:cs="仿宋_GB2312"/>
          <w:color w:val="auto"/>
          <w:spacing w:val="6"/>
          <w:sz w:val="30"/>
          <w:szCs w:val="30"/>
          <w:highlight w:val="none"/>
        </w:rPr>
        <w:t>医疗技术</w:t>
      </w:r>
      <w:r>
        <w:rPr>
          <w:rFonts w:hint="eastAsia" w:ascii="仿宋_GB2312" w:hAnsi="仿宋_GB2312" w:eastAsia="仿宋_GB2312" w:cs="仿宋_GB2312"/>
          <w:color w:val="auto"/>
          <w:spacing w:val="6"/>
          <w:sz w:val="30"/>
          <w:szCs w:val="30"/>
          <w:highlight w:val="none"/>
          <w:lang w:eastAsia="zh-CN"/>
        </w:rPr>
        <w:t>的保障支持，更好发挥普惠型商业医疗保险补充保障功能</w:t>
      </w:r>
      <w:r>
        <w:rPr>
          <w:rFonts w:hint="eastAsia" w:ascii="仿宋_GB2312" w:hAnsi="仿宋_GB2312" w:eastAsia="仿宋_GB2312" w:cs="仿宋_GB2312"/>
          <w:color w:val="auto"/>
          <w:spacing w:val="6"/>
          <w:sz w:val="30"/>
          <w:szCs w:val="30"/>
          <w:highlight w:val="none"/>
        </w:rPr>
        <w:t>。</w:t>
      </w:r>
      <w:r>
        <w:rPr>
          <w:rFonts w:hint="eastAsia" w:ascii="仿宋_GB2312" w:hAnsi="仿宋_GB2312" w:eastAsia="仿宋_GB2312" w:cs="仿宋_GB2312"/>
          <w:color w:val="auto"/>
          <w:spacing w:val="6"/>
          <w:sz w:val="30"/>
          <w:szCs w:val="30"/>
          <w:highlight w:val="none"/>
          <w:lang w:eastAsia="zh-CN"/>
        </w:rPr>
        <w:t>鼓励商保公司医疗</w:t>
      </w:r>
      <w:r>
        <w:rPr>
          <w:rFonts w:hint="eastAsia" w:ascii="仿宋_GB2312" w:hAnsi="仿宋_GB2312" w:eastAsia="仿宋_GB2312" w:cs="仿宋_GB2312"/>
          <w:color w:val="auto"/>
          <w:spacing w:val="6"/>
          <w:sz w:val="30"/>
          <w:szCs w:val="30"/>
          <w:highlight w:val="none"/>
        </w:rPr>
        <w:t>保险产品</w:t>
      </w:r>
      <w:r>
        <w:rPr>
          <w:rFonts w:hint="eastAsia" w:ascii="仿宋_GB2312" w:hAnsi="仿宋_GB2312" w:eastAsia="仿宋_GB2312" w:cs="仿宋_GB2312"/>
          <w:color w:val="auto"/>
          <w:spacing w:val="6"/>
          <w:sz w:val="30"/>
          <w:szCs w:val="30"/>
          <w:highlight w:val="none"/>
          <w:lang w:eastAsia="zh-CN"/>
        </w:rPr>
        <w:t>创新</w:t>
      </w:r>
      <w:r>
        <w:rPr>
          <w:rFonts w:hint="eastAsia" w:ascii="仿宋_GB2312" w:hAnsi="仿宋_GB2312" w:eastAsia="仿宋_GB2312" w:cs="仿宋_GB2312"/>
          <w:color w:val="auto"/>
          <w:spacing w:val="6"/>
          <w:sz w:val="30"/>
          <w:szCs w:val="30"/>
          <w:highlight w:val="none"/>
        </w:rPr>
        <w:t>，鼓励将</w:t>
      </w:r>
      <w:r>
        <w:rPr>
          <w:rFonts w:hint="eastAsia" w:ascii="仿宋_GB2312" w:hAnsi="仿宋_GB2312" w:eastAsia="仿宋_GB2312" w:cs="仿宋_GB2312"/>
          <w:color w:val="auto"/>
          <w:spacing w:val="6"/>
          <w:sz w:val="30"/>
          <w:szCs w:val="30"/>
          <w:highlight w:val="none"/>
          <w:lang w:eastAsia="zh-CN"/>
        </w:rPr>
        <w:t>商业医疗保险</w:t>
      </w:r>
      <w:r>
        <w:rPr>
          <w:rFonts w:hint="eastAsia" w:ascii="仿宋_GB2312" w:hAnsi="仿宋_GB2312" w:eastAsia="仿宋_GB2312" w:cs="仿宋_GB2312"/>
          <w:color w:val="auto"/>
          <w:spacing w:val="6"/>
          <w:sz w:val="30"/>
          <w:szCs w:val="30"/>
          <w:highlight w:val="none"/>
        </w:rPr>
        <w:t>创新药品目录纳入保障范围</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支持开发涵盖疾病预防、健康管理、特需医疗和跨境医疗等医疗保险产品。探索推动基本医保</w:t>
      </w:r>
      <w:r>
        <w:rPr>
          <w:rFonts w:hint="eastAsia" w:ascii="仿宋_GB2312" w:hAnsi="仿宋_GB2312" w:eastAsia="仿宋_GB2312" w:cs="仿宋_GB2312"/>
          <w:color w:val="auto"/>
          <w:spacing w:val="6"/>
          <w:sz w:val="30"/>
          <w:szCs w:val="30"/>
          <w:highlight w:val="none"/>
          <w:lang w:eastAsia="zh-CN"/>
        </w:rPr>
        <w:t>医疗数据开发利用，为商业医疗保险产品设计和精算等提供数据支撑</w:t>
      </w:r>
      <w:r>
        <w:rPr>
          <w:rFonts w:hint="eastAsia" w:ascii="仿宋_GB2312" w:hAnsi="仿宋_GB2312" w:eastAsia="仿宋_GB2312" w:cs="仿宋_GB2312"/>
          <w:color w:val="auto"/>
          <w:spacing w:val="6"/>
          <w:sz w:val="30"/>
          <w:szCs w:val="30"/>
          <w:highlight w:val="none"/>
        </w:rPr>
        <w:t>。</w:t>
      </w:r>
      <w:r>
        <w:rPr>
          <w:rFonts w:hint="eastAsia" w:ascii="仿宋_GB2312" w:hAnsi="仿宋_GB2312" w:eastAsia="仿宋_GB2312" w:cs="仿宋_GB2312"/>
          <w:color w:val="auto"/>
          <w:spacing w:val="6"/>
          <w:sz w:val="30"/>
          <w:szCs w:val="30"/>
          <w:highlight w:val="none"/>
          <w:lang w:eastAsia="zh-CN"/>
        </w:rPr>
        <w:t>稳妥扩大医保商保“一站式”结算范围，为商业医疗保险降本增效提供支撑</w:t>
      </w:r>
      <w:r>
        <w:rPr>
          <w:rFonts w:hint="eastAsia" w:ascii="仿宋_GB2312" w:hAnsi="仿宋_GB2312" w:eastAsia="仿宋_GB2312" w:cs="仿宋_GB2312"/>
          <w:color w:val="auto"/>
          <w:spacing w:val="6"/>
          <w:sz w:val="30"/>
          <w:szCs w:val="30"/>
          <w:highlight w:val="none"/>
        </w:rPr>
        <w:t>。</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leftChars="0" w:firstLine="624" w:firstLineChars="200"/>
        <w:textAlignment w:val="auto"/>
        <w:outlineLvl w:val="9"/>
        <w:rPr>
          <w:rFonts w:hint="eastAsia" w:ascii="楷体_GB2312" w:hAnsi="楷体_GB2312" w:eastAsia="楷体_GB2312" w:cs="楷体_GB2312"/>
          <w:b w:val="0"/>
          <w:bCs w:val="0"/>
          <w:color w:val="auto"/>
          <w:spacing w:val="6"/>
          <w:kern w:val="2"/>
          <w:sz w:val="30"/>
          <w:szCs w:val="30"/>
          <w:highlight w:val="none"/>
          <w:lang w:val="en-US" w:eastAsia="zh-CN" w:bidi="ar-SA"/>
        </w:rPr>
      </w:pPr>
      <w:bookmarkStart w:id="337" w:name="_Toc21076"/>
      <w:bookmarkStart w:id="338" w:name="_Toc14156"/>
      <w:bookmarkStart w:id="339" w:name="_Toc2204"/>
      <w:bookmarkStart w:id="340" w:name="_Toc7766"/>
      <w:bookmarkStart w:id="341" w:name="_Toc27276"/>
      <w:bookmarkStart w:id="342" w:name="_Toc19652"/>
      <w:bookmarkStart w:id="343" w:name="_Toc25574"/>
      <w:bookmarkStart w:id="344" w:name="_Toc887"/>
      <w:bookmarkStart w:id="345" w:name="_Toc4961"/>
      <w:bookmarkStart w:id="346" w:name="_Toc1842"/>
      <w:bookmarkStart w:id="347" w:name="_Toc4240"/>
      <w:bookmarkStart w:id="348" w:name="_Toc14574"/>
      <w:bookmarkStart w:id="349" w:name="_Toc13795"/>
      <w:bookmarkStart w:id="350" w:name="_Toc25178"/>
      <w:bookmarkStart w:id="351" w:name="_Toc28460"/>
      <w:bookmarkStart w:id="352" w:name="_Toc11258"/>
      <w:bookmarkStart w:id="353" w:name="_Toc27231"/>
      <w:bookmarkStart w:id="354" w:name="_Toc32025"/>
      <w:bookmarkStart w:id="355" w:name="_Toc5693"/>
      <w:bookmarkStart w:id="356" w:name="_Toc27776"/>
      <w:bookmarkStart w:id="357" w:name="_Toc21201"/>
      <w:r>
        <w:rPr>
          <w:rFonts w:hint="eastAsia" w:ascii="楷体_GB2312" w:hAnsi="楷体_GB2312" w:eastAsia="楷体_GB2312" w:cs="楷体_GB2312"/>
          <w:b w:val="0"/>
          <w:bCs w:val="0"/>
          <w:color w:val="auto"/>
          <w:spacing w:val="6"/>
          <w:kern w:val="2"/>
          <w:sz w:val="30"/>
          <w:szCs w:val="30"/>
          <w:highlight w:val="none"/>
          <w:lang w:val="en-US" w:eastAsia="zh-CN" w:bidi="ar-SA"/>
        </w:rPr>
        <w:t>（八）支持医疗互助和慈善救助</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Fonts w:hint="eastAsia" w:ascii="楷体_GB2312" w:hAnsi="楷体_GB2312" w:eastAsia="楷体_GB2312" w:cs="楷体_GB2312"/>
          <w:b w:val="0"/>
          <w:bCs w:val="0"/>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rPr>
        <w:t>支持职工医疗互助制度</w:t>
      </w:r>
      <w:r>
        <w:rPr>
          <w:rFonts w:hint="eastAsia" w:ascii="仿宋_GB2312" w:hAnsi="仿宋_GB2312" w:eastAsia="仿宋_GB2312" w:cs="仿宋_GB2312"/>
          <w:color w:val="auto"/>
          <w:spacing w:val="6"/>
          <w:sz w:val="30"/>
          <w:szCs w:val="30"/>
          <w:highlight w:val="none"/>
          <w:lang w:eastAsia="zh-CN"/>
        </w:rPr>
        <w:t>和企业补充医疗保险有序发展，做好</w:t>
      </w:r>
      <w:r>
        <w:rPr>
          <w:rFonts w:hint="eastAsia" w:ascii="仿宋_GB2312" w:hAnsi="仿宋_GB2312" w:eastAsia="仿宋_GB2312" w:cs="仿宋_GB2312"/>
          <w:color w:val="auto"/>
          <w:spacing w:val="6"/>
          <w:sz w:val="30"/>
          <w:szCs w:val="30"/>
          <w:highlight w:val="none"/>
        </w:rPr>
        <w:t>与基本医保、大</w:t>
      </w:r>
      <w:r>
        <w:rPr>
          <w:rFonts w:hint="eastAsia" w:ascii="仿宋_GB2312" w:hAnsi="仿宋_GB2312" w:eastAsia="仿宋_GB2312" w:cs="仿宋_GB2312"/>
          <w:color w:val="auto"/>
          <w:spacing w:val="6"/>
          <w:sz w:val="30"/>
          <w:szCs w:val="30"/>
          <w:highlight w:val="none"/>
          <w:lang w:eastAsia="zh-CN"/>
        </w:rPr>
        <w:t>额医疗费用补助</w:t>
      </w:r>
      <w:r>
        <w:rPr>
          <w:rFonts w:hint="eastAsia" w:ascii="仿宋_GB2312" w:hAnsi="仿宋_GB2312" w:eastAsia="仿宋_GB2312" w:cs="仿宋_GB2312"/>
          <w:color w:val="auto"/>
          <w:spacing w:val="6"/>
          <w:sz w:val="30"/>
          <w:szCs w:val="30"/>
          <w:highlight w:val="none"/>
        </w:rPr>
        <w:t>政策衔接</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强化慈善救助政策支持，激发慈善等社会力量参与医疗救助积极性。健全</w:t>
      </w:r>
      <w:r>
        <w:rPr>
          <w:rFonts w:hint="eastAsia" w:ascii="仿宋_GB2312" w:hAnsi="仿宋_GB2312" w:eastAsia="仿宋_GB2312" w:cs="仿宋_GB2312"/>
          <w:color w:val="auto"/>
          <w:spacing w:val="6"/>
          <w:sz w:val="30"/>
          <w:szCs w:val="30"/>
          <w:highlight w:val="none"/>
          <w:lang w:eastAsia="zh-CN"/>
        </w:rPr>
        <w:t>“海惠帮”</w:t>
      </w:r>
      <w:r>
        <w:rPr>
          <w:rFonts w:hint="eastAsia" w:ascii="仿宋_GB2312" w:hAnsi="仿宋_GB2312" w:eastAsia="仿宋_GB2312" w:cs="仿宋_GB2312"/>
          <w:color w:val="auto"/>
          <w:spacing w:val="6"/>
          <w:sz w:val="30"/>
          <w:szCs w:val="30"/>
          <w:highlight w:val="none"/>
        </w:rPr>
        <w:t>多元化医疗救助体系，形成综合救助合力，进一步减轻困难群众医疗费用负担。</w:t>
      </w:r>
      <w:bookmarkEnd w:id="268"/>
      <w:bookmarkEnd w:id="269"/>
      <w:bookmarkEnd w:id="270"/>
      <w:bookmarkEnd w:id="271"/>
      <w:bookmarkEnd w:id="272"/>
      <w:bookmarkEnd w:id="273"/>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5000" w:type="pct"/>
            <w:shd w:val="clear" w:color="auto" w:fill="D7D7D7"/>
            <w:noWrap w:val="0"/>
            <w:tcMar>
              <w:top w:w="60" w:type="dxa"/>
              <w:left w:w="120" w:type="dxa"/>
              <w:bottom w:w="30" w:type="dxa"/>
              <w:right w:w="120" w:type="dxa"/>
            </w:tcMar>
            <w:vAlign w:val="center"/>
          </w:tcPr>
          <w:p>
            <w:pPr>
              <w:keepNext w:val="0"/>
              <w:keepLines w:val="0"/>
              <w:pageBreakBefore w:val="0"/>
              <w:widowControl w:val="0"/>
              <w:kinsoku/>
              <w:wordWrap/>
              <w:overflowPunct w:val="0"/>
              <w:topLinePunct w:val="0"/>
              <w:autoSpaceDE/>
              <w:autoSpaceDN/>
              <w:bidi w:val="0"/>
              <w:adjustRightInd w:val="0"/>
              <w:snapToGrid w:val="0"/>
              <w:spacing w:line="400" w:lineRule="exact"/>
              <w:jc w:val="center"/>
              <w:textAlignment w:val="auto"/>
              <w:rPr>
                <w:rFonts w:hint="default" w:ascii="Times New Roman" w:hAnsi="Times New Roman" w:eastAsia="黑体" w:cs="Times New Roman"/>
                <w:b w:val="0"/>
                <w:bCs w:val="0"/>
                <w:color w:val="auto"/>
                <w:spacing w:val="0"/>
                <w:sz w:val="28"/>
                <w:szCs w:val="28"/>
                <w:highlight w:val="none"/>
              </w:rPr>
            </w:pPr>
            <w:r>
              <w:rPr>
                <w:rFonts w:hint="default" w:ascii="Times New Roman" w:hAnsi="Times New Roman" w:eastAsia="黑体" w:cs="Times New Roman"/>
                <w:b w:val="0"/>
                <w:bCs w:val="0"/>
                <w:color w:val="auto"/>
                <w:spacing w:val="0"/>
                <w:sz w:val="28"/>
                <w:szCs w:val="28"/>
                <w:highlight w:val="none"/>
                <w:lang w:val="en-US" w:eastAsia="zh-CN"/>
              </w:rPr>
              <w:t xml:space="preserve">民生事项1 </w:t>
            </w:r>
            <w:r>
              <w:rPr>
                <w:rFonts w:hint="default" w:ascii="Times New Roman" w:hAnsi="Times New Roman" w:eastAsia="黑体" w:cs="Times New Roman"/>
                <w:b w:val="0"/>
                <w:bCs w:val="0"/>
                <w:color w:val="auto"/>
                <w:spacing w:val="0"/>
                <w:sz w:val="28"/>
                <w:szCs w:val="28"/>
                <w:highlight w:val="none"/>
              </w:rPr>
              <w:t>多层次</w:t>
            </w:r>
            <w:r>
              <w:rPr>
                <w:rFonts w:hint="default" w:ascii="Times New Roman" w:hAnsi="Times New Roman" w:eastAsia="黑体" w:cs="Times New Roman"/>
                <w:b w:val="0"/>
                <w:bCs w:val="0"/>
                <w:color w:val="auto"/>
                <w:spacing w:val="0"/>
                <w:sz w:val="28"/>
                <w:szCs w:val="28"/>
                <w:highlight w:val="none"/>
                <w:lang w:val="en-US" w:eastAsia="zh-CN"/>
              </w:rPr>
              <w:t>医疗</w:t>
            </w:r>
            <w:r>
              <w:rPr>
                <w:rFonts w:hint="default" w:ascii="Times New Roman" w:hAnsi="Times New Roman" w:eastAsia="黑体" w:cs="Times New Roman"/>
                <w:b w:val="0"/>
                <w:bCs w:val="0"/>
                <w:color w:val="auto"/>
                <w:spacing w:val="0"/>
                <w:sz w:val="28"/>
                <w:szCs w:val="28"/>
                <w:highlight w:val="none"/>
              </w:rPr>
              <w:t>保障体系提质增效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2" w:hRule="atLeast"/>
        </w:trPr>
        <w:tc>
          <w:tcPr>
            <w:tcW w:w="5000" w:type="pct"/>
            <w:noWrap w:val="0"/>
            <w:tcMar>
              <w:top w:w="60" w:type="dxa"/>
              <w:left w:w="120" w:type="dxa"/>
              <w:bottom w:w="30" w:type="dxa"/>
              <w:right w:w="120" w:type="dxa"/>
            </w:tcMar>
            <w:vAlign w:val="center"/>
          </w:tcPr>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56"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1.全民参保扩面</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56"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深化</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一人一档</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参保数据库建设，精准识别应保未保人员，分类施策推进精准扩面。</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56"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2.生育保险扩面</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56"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将灵活就业人员、农民工、新就业形态人员纳入生育保险保障范围，优化生育津贴直接发放个人路径，持续开展</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新生儿免费参保</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w:t>
            </w:r>
          </w:p>
        </w:tc>
      </w:tr>
    </w:tbl>
    <w:p>
      <w:pPr>
        <w:pStyle w:val="3"/>
        <w:keepNext w:val="0"/>
        <w:keepLines w:val="0"/>
        <w:pageBreakBefore w:val="0"/>
        <w:widowControl w:val="0"/>
        <w:kinsoku/>
        <w:wordWrap/>
        <w:overflowPunct w:val="0"/>
        <w:topLinePunct w:val="0"/>
        <w:autoSpaceDE/>
        <w:autoSpaceDN/>
        <w:bidi w:val="0"/>
        <w:adjustRightInd w:val="0"/>
        <w:snapToGrid w:val="0"/>
        <w:spacing w:after="0" w:line="578" w:lineRule="exact"/>
        <w:ind w:firstLine="624" w:firstLineChars="200"/>
        <w:jc w:val="both"/>
        <w:textAlignment w:val="auto"/>
        <w:outlineLvl w:val="0"/>
        <w:rPr>
          <w:rFonts w:hint="eastAsia" w:ascii="黑体" w:hAnsi="黑体" w:eastAsia="黑体" w:cs="黑体"/>
          <w:color w:val="auto"/>
          <w:spacing w:val="6"/>
          <w:sz w:val="30"/>
          <w:szCs w:val="30"/>
          <w:highlight w:val="none"/>
          <w:lang w:val="en-US" w:eastAsia="zh-CN"/>
        </w:rPr>
      </w:pPr>
      <w:bookmarkStart w:id="358" w:name="_Toc12630"/>
      <w:bookmarkStart w:id="359" w:name="_Toc31716"/>
      <w:bookmarkStart w:id="360" w:name="_Toc23058"/>
      <w:bookmarkStart w:id="361" w:name="_Toc2381597"/>
      <w:bookmarkStart w:id="362" w:name="_Toc12967"/>
      <w:bookmarkStart w:id="363" w:name="_Toc29577"/>
      <w:bookmarkStart w:id="364" w:name="_Toc2142542199"/>
      <w:bookmarkStart w:id="365" w:name="_Toc22677"/>
      <w:bookmarkStart w:id="366" w:name="_Toc5691"/>
      <w:bookmarkStart w:id="367" w:name="_Toc17351"/>
      <w:bookmarkStart w:id="368" w:name="_Toc13352"/>
      <w:bookmarkStart w:id="369" w:name="_Toc1653"/>
      <w:bookmarkStart w:id="370" w:name="_Toc1721"/>
      <w:bookmarkStart w:id="371" w:name="_Toc9687"/>
      <w:bookmarkStart w:id="372" w:name="_Toc27032"/>
      <w:bookmarkStart w:id="373" w:name="_Toc27327"/>
      <w:bookmarkStart w:id="374" w:name="_Toc32744"/>
      <w:bookmarkStart w:id="375" w:name="_Toc20559"/>
      <w:bookmarkStart w:id="376" w:name="_Toc13475"/>
      <w:bookmarkStart w:id="377" w:name="_Toc21688"/>
      <w:bookmarkStart w:id="378" w:name="_Toc31119"/>
      <w:bookmarkStart w:id="379" w:name="_Toc10386"/>
      <w:bookmarkStart w:id="380" w:name="_Toc2749"/>
      <w:bookmarkStart w:id="381" w:name="_Toc27428"/>
      <w:bookmarkStart w:id="382" w:name="_Toc26167"/>
      <w:bookmarkStart w:id="383" w:name="_Toc8695"/>
      <w:bookmarkStart w:id="384" w:name="_Toc24483"/>
      <w:r>
        <w:rPr>
          <w:rFonts w:hint="eastAsia" w:ascii="黑体" w:hAnsi="黑体" w:eastAsia="黑体" w:cs="黑体"/>
          <w:color w:val="auto"/>
          <w:spacing w:val="6"/>
          <w:sz w:val="30"/>
          <w:szCs w:val="30"/>
          <w:highlight w:val="none"/>
          <w:lang w:val="en-US" w:eastAsia="zh-CN"/>
        </w:rPr>
        <w:t>三、全面实施长期护理保险</w:t>
      </w:r>
      <w:bookmarkEnd w:id="358"/>
      <w:bookmarkEnd w:id="359"/>
      <w:bookmarkEnd w:id="360"/>
      <w:bookmarkEnd w:id="361"/>
      <w:bookmarkEnd w:id="362"/>
      <w:r>
        <w:rPr>
          <w:rFonts w:hint="eastAsia" w:ascii="黑体" w:hAnsi="黑体" w:eastAsia="黑体" w:cs="黑体"/>
          <w:color w:val="auto"/>
          <w:spacing w:val="6"/>
          <w:sz w:val="30"/>
          <w:szCs w:val="30"/>
          <w:highlight w:val="none"/>
          <w:lang w:val="en-US" w:eastAsia="zh-CN"/>
        </w:rPr>
        <w:t>制度</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rPr>
      </w:pPr>
      <w:r>
        <w:rPr>
          <w:rFonts w:hint="eastAsia" w:ascii="仿宋_GB2312" w:hAnsi="仿宋_GB2312" w:eastAsia="仿宋_GB2312" w:cs="仿宋_GB2312"/>
          <w:color w:val="auto"/>
          <w:spacing w:val="6"/>
          <w:sz w:val="30"/>
          <w:szCs w:val="30"/>
          <w:highlight w:val="none"/>
          <w:lang w:val="en-US" w:eastAsia="zh-CN"/>
        </w:rPr>
        <w:t>积极应对人口老龄化，健全规范统一的长期护理保险制度，科学确定筹资和保障水平，完善管理运行机制，保障失能群体基本照护，培育支持长期照护产业发展集群，助力普惠多元为老服务体系建设。</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textAlignment w:val="auto"/>
        <w:outlineLvl w:val="1"/>
        <w:rPr>
          <w:rFonts w:hint="eastAsia" w:ascii="楷体_GB2312" w:hAnsi="楷体_GB2312" w:eastAsia="楷体_GB2312" w:cs="楷体_GB2312"/>
          <w:color w:val="auto"/>
          <w:spacing w:val="6"/>
          <w:kern w:val="0"/>
          <w:sz w:val="30"/>
          <w:szCs w:val="30"/>
          <w:highlight w:val="none"/>
          <w:shd w:val="clear" w:color="auto" w:fill="auto"/>
          <w:lang w:val="en-US" w:eastAsia="zh-CN" w:bidi="ar"/>
        </w:rPr>
      </w:pPr>
      <w:bookmarkStart w:id="385" w:name="_Toc19782"/>
      <w:bookmarkStart w:id="386" w:name="_Toc19778"/>
      <w:bookmarkStart w:id="387" w:name="_Toc24814"/>
      <w:bookmarkStart w:id="388" w:name="_Toc23893"/>
      <w:bookmarkStart w:id="389" w:name="_Toc13591"/>
      <w:bookmarkStart w:id="390" w:name="_Toc17406"/>
      <w:bookmarkStart w:id="391" w:name="_Toc6134"/>
      <w:bookmarkStart w:id="392" w:name="_Toc21023"/>
      <w:bookmarkStart w:id="393" w:name="_Toc21895"/>
      <w:bookmarkStart w:id="394" w:name="_Toc20983"/>
      <w:bookmarkStart w:id="395" w:name="_Toc14945"/>
      <w:bookmarkStart w:id="396" w:name="_Toc27880"/>
      <w:bookmarkStart w:id="397" w:name="_Toc12176"/>
      <w:bookmarkStart w:id="398" w:name="_Toc23425"/>
      <w:bookmarkStart w:id="399" w:name="_Toc5934"/>
      <w:bookmarkStart w:id="400" w:name="_Toc12594"/>
      <w:bookmarkStart w:id="401" w:name="_Toc17134"/>
      <w:bookmarkStart w:id="402" w:name="_Toc16266"/>
      <w:bookmarkStart w:id="403" w:name="_Toc29442"/>
      <w:bookmarkStart w:id="404" w:name="_Toc23368"/>
      <w:bookmarkStart w:id="405" w:name="_Toc32165"/>
      <w:bookmarkStart w:id="406" w:name="_Toc31998"/>
      <w:bookmarkStart w:id="407" w:name="_Toc24553"/>
      <w:bookmarkStart w:id="408" w:name="_Toc22082"/>
      <w:bookmarkStart w:id="409" w:name="_Toc1814602926"/>
      <w:bookmarkStart w:id="410" w:name="_Toc26867"/>
      <w:bookmarkStart w:id="411" w:name="_Toc1468793399"/>
      <w:r>
        <w:rPr>
          <w:rFonts w:hint="eastAsia" w:ascii="楷体_GB2312" w:hAnsi="楷体_GB2312" w:eastAsia="楷体_GB2312" w:cs="楷体_GB2312"/>
          <w:color w:val="auto"/>
          <w:spacing w:val="6"/>
          <w:kern w:val="0"/>
          <w:sz w:val="30"/>
          <w:szCs w:val="30"/>
          <w:highlight w:val="none"/>
          <w:shd w:val="clear" w:color="auto" w:fill="auto"/>
          <w:lang w:val="en-US" w:eastAsia="zh-CN" w:bidi="ar"/>
        </w:rPr>
        <w:t>（九）健全制度框架与政策体系</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hint="eastAsia" w:ascii="楷体_GB2312" w:hAnsi="楷体_GB2312" w:eastAsia="楷体_GB2312" w:cs="楷体_GB2312"/>
          <w:color w:val="auto"/>
          <w:spacing w:val="6"/>
          <w:kern w:val="0"/>
          <w:sz w:val="30"/>
          <w:szCs w:val="30"/>
          <w:highlight w:val="none"/>
          <w:shd w:val="clear" w:color="auto" w:fill="auto"/>
          <w:lang w:val="en-US" w:eastAsia="zh-CN" w:bidi="ar"/>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在国家统一制度框架内，健全完善符合我省实际的长期护理保险制度。完善职工和城乡居民一体化可持续筹资机制，科学合理确定筹资标准并动态调整。根据国家统一部署，逐步扩大保障范围。优化待遇保障政策。做好长期护理保险与经济困难的高龄、失能老年人补贴及重度残疾人护理补贴等政策的衔接。</w:t>
      </w:r>
      <w:r>
        <w:rPr>
          <w:rFonts w:hint="eastAsia" w:ascii="仿宋_GB2312" w:hAnsi="仿宋_GB2312" w:eastAsia="仿宋_GB2312" w:cs="仿宋_GB2312"/>
          <w:b w:val="0"/>
          <w:bCs w:val="0"/>
          <w:color w:val="auto"/>
          <w:spacing w:val="6"/>
          <w:sz w:val="30"/>
          <w:szCs w:val="30"/>
          <w:highlight w:val="none"/>
          <w:lang w:val="en-US" w:eastAsia="zh-CN"/>
        </w:rPr>
        <w:t>探索</w:t>
      </w:r>
      <w:r>
        <w:rPr>
          <w:rFonts w:hint="eastAsia" w:ascii="仿宋_GB2312" w:hAnsi="仿宋_GB2312" w:eastAsia="仿宋_GB2312" w:cs="仿宋_GB2312"/>
          <w:color w:val="auto"/>
          <w:spacing w:val="6"/>
          <w:sz w:val="30"/>
          <w:szCs w:val="30"/>
          <w:highlight w:val="none"/>
          <w:lang w:val="en-US" w:eastAsia="zh-CN"/>
        </w:rPr>
        <w:t>发展商业性长期护理保险，构建多层次、可持续的长期护理保障体系。推动养老服务设施与基层医疗卫生设施毗邻建设，完善转诊绿色通道。选取医养结合机构开展“养医护”联动模式试点，探索打通养老、医疗、康复床位协同通道。</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textAlignment w:val="auto"/>
        <w:outlineLvl w:val="1"/>
        <w:rPr>
          <w:rFonts w:hint="eastAsia" w:ascii="楷体_GB2312" w:hAnsi="楷体_GB2312" w:eastAsia="楷体_GB2312" w:cs="楷体_GB2312"/>
          <w:color w:val="auto"/>
          <w:spacing w:val="6"/>
          <w:kern w:val="0"/>
          <w:sz w:val="30"/>
          <w:szCs w:val="30"/>
          <w:highlight w:val="none"/>
          <w:shd w:val="clear" w:color="auto" w:fill="auto"/>
          <w:lang w:val="en-US" w:eastAsia="zh-CN" w:bidi="ar"/>
        </w:rPr>
      </w:pPr>
      <w:bookmarkStart w:id="412" w:name="_Toc4587"/>
      <w:bookmarkStart w:id="413" w:name="_Toc22992"/>
      <w:bookmarkStart w:id="414" w:name="_Toc1579"/>
      <w:bookmarkStart w:id="415" w:name="_Toc2507"/>
      <w:bookmarkStart w:id="416" w:name="_Toc208"/>
      <w:bookmarkStart w:id="417" w:name="_Toc10307"/>
      <w:bookmarkStart w:id="418" w:name="_Toc11426"/>
      <w:bookmarkStart w:id="419" w:name="_Toc9830"/>
      <w:bookmarkStart w:id="420" w:name="_Toc31615"/>
      <w:bookmarkStart w:id="421" w:name="_Toc22867"/>
      <w:bookmarkStart w:id="422" w:name="_Toc31509"/>
      <w:bookmarkStart w:id="423" w:name="_Toc25920"/>
      <w:bookmarkStart w:id="424" w:name="_Toc18163"/>
      <w:bookmarkStart w:id="425" w:name="_Toc9870"/>
      <w:bookmarkStart w:id="426" w:name="_Toc23566"/>
      <w:bookmarkStart w:id="427" w:name="_Toc30450"/>
      <w:bookmarkStart w:id="428" w:name="_Toc1544"/>
      <w:bookmarkStart w:id="429" w:name="_Toc16005"/>
      <w:bookmarkStart w:id="430" w:name="_Toc31624"/>
      <w:bookmarkStart w:id="431" w:name="_Toc12408"/>
      <w:bookmarkStart w:id="432" w:name="_Toc25699"/>
      <w:r>
        <w:rPr>
          <w:rFonts w:hint="eastAsia" w:ascii="楷体_GB2312" w:hAnsi="楷体_GB2312" w:eastAsia="楷体_GB2312" w:cs="楷体_GB2312"/>
          <w:color w:val="auto"/>
          <w:spacing w:val="6"/>
          <w:kern w:val="0"/>
          <w:sz w:val="30"/>
          <w:szCs w:val="30"/>
          <w:highlight w:val="none"/>
          <w:shd w:val="clear" w:color="auto" w:fill="auto"/>
          <w:lang w:val="en-US" w:eastAsia="zh-CN" w:bidi="ar"/>
        </w:rPr>
        <w:t>（十）完善管理规范与运行机制</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Fonts w:hint="eastAsia" w:ascii="楷体_GB2312" w:hAnsi="楷体_GB2312" w:eastAsia="楷体_GB2312" w:cs="楷体_GB2312"/>
          <w:color w:val="auto"/>
          <w:spacing w:val="6"/>
          <w:kern w:val="0"/>
          <w:sz w:val="30"/>
          <w:szCs w:val="30"/>
          <w:highlight w:val="none"/>
          <w:shd w:val="clear" w:color="auto" w:fill="auto"/>
          <w:lang w:val="en-US" w:eastAsia="zh-CN" w:bidi="ar"/>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执行国家统一失能等级评估标准，探索</w:t>
      </w:r>
      <w:r>
        <w:rPr>
          <w:rFonts w:hint="eastAsia" w:ascii="仿宋_GB2312" w:hAnsi="仿宋_GB2312" w:eastAsia="仿宋_GB2312" w:cs="仿宋_GB2312"/>
          <w:color w:val="auto"/>
          <w:spacing w:val="6"/>
          <w:sz w:val="30"/>
          <w:szCs w:val="30"/>
          <w:highlight w:val="none"/>
          <w:lang w:val="en-US" w:eastAsia="zh"/>
        </w:rPr>
        <w:t>建立“多评合一”制度，推进</w:t>
      </w:r>
      <w:r>
        <w:rPr>
          <w:rFonts w:hint="eastAsia" w:ascii="仿宋_GB2312" w:hAnsi="仿宋_GB2312" w:eastAsia="仿宋_GB2312" w:cs="仿宋_GB2312"/>
          <w:color w:val="auto"/>
          <w:spacing w:val="6"/>
          <w:sz w:val="30"/>
          <w:szCs w:val="30"/>
          <w:highlight w:val="none"/>
          <w:lang w:val="en-US" w:eastAsia="zh-CN"/>
        </w:rPr>
        <w:t>评估结果</w:t>
      </w:r>
      <w:r>
        <w:rPr>
          <w:rFonts w:hint="eastAsia" w:ascii="仿宋_GB2312" w:hAnsi="仿宋_GB2312" w:eastAsia="仿宋_GB2312" w:cs="仿宋_GB2312"/>
          <w:color w:val="auto"/>
          <w:spacing w:val="6"/>
          <w:sz w:val="30"/>
          <w:szCs w:val="30"/>
          <w:highlight w:val="none"/>
          <w:lang w:val="en-US" w:eastAsia="zh"/>
        </w:rPr>
        <w:t>部门</w:t>
      </w:r>
      <w:r>
        <w:rPr>
          <w:rFonts w:hint="eastAsia" w:ascii="仿宋_GB2312" w:hAnsi="仿宋_GB2312" w:eastAsia="仿宋_GB2312" w:cs="仿宋_GB2312"/>
          <w:color w:val="auto"/>
          <w:spacing w:val="6"/>
          <w:sz w:val="30"/>
          <w:szCs w:val="30"/>
          <w:highlight w:val="none"/>
          <w:lang w:val="en-US" w:eastAsia="zh-CN"/>
        </w:rPr>
        <w:t>互认。加强定点评估机构和护理服务机构协议管理，规范定点服务机构行为，加强长期护理保险失能等级评估人员规范化培训。建立健全服务质量评价机制和费用控制激励约束机制。建立基金运行监控和风险防范机制，做好中长期精算分析。建立健全长期护理保险基金监管体系，筑牢基金安全底线。</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textAlignment w:val="auto"/>
        <w:outlineLvl w:val="1"/>
        <w:rPr>
          <w:rFonts w:hint="eastAsia" w:ascii="楷体_GB2312" w:hAnsi="楷体_GB2312" w:eastAsia="楷体_GB2312" w:cs="楷体_GB2312"/>
          <w:color w:val="auto"/>
          <w:spacing w:val="6"/>
          <w:kern w:val="0"/>
          <w:sz w:val="30"/>
          <w:szCs w:val="30"/>
          <w:highlight w:val="none"/>
          <w:shd w:val="clear" w:color="auto" w:fill="auto"/>
          <w:lang w:val="en-US" w:eastAsia="zh-CN" w:bidi="ar"/>
        </w:rPr>
      </w:pPr>
      <w:bookmarkStart w:id="433" w:name="_Toc30423"/>
      <w:bookmarkStart w:id="434" w:name="_Toc6705"/>
      <w:bookmarkStart w:id="435" w:name="_Toc24991"/>
      <w:bookmarkStart w:id="436" w:name="_Toc28504"/>
      <w:bookmarkStart w:id="437" w:name="_Toc20376"/>
      <w:bookmarkStart w:id="438" w:name="_Toc27092"/>
      <w:bookmarkStart w:id="439" w:name="_Toc6273"/>
      <w:bookmarkStart w:id="440" w:name="_Toc7476"/>
      <w:bookmarkStart w:id="441" w:name="_Toc16228"/>
      <w:bookmarkStart w:id="442" w:name="_Toc11342"/>
      <w:bookmarkStart w:id="443" w:name="_Toc18805"/>
      <w:bookmarkStart w:id="444" w:name="_Toc7242"/>
      <w:bookmarkStart w:id="445" w:name="_Toc32319"/>
      <w:bookmarkStart w:id="446" w:name="_Toc20884"/>
      <w:bookmarkStart w:id="447" w:name="_Toc19281"/>
      <w:bookmarkStart w:id="448" w:name="_Toc21548"/>
      <w:bookmarkStart w:id="449" w:name="_Toc4974"/>
      <w:bookmarkStart w:id="450" w:name="_Toc9143"/>
      <w:bookmarkStart w:id="451" w:name="_Toc27200"/>
      <w:bookmarkStart w:id="452" w:name="_Toc9136"/>
      <w:bookmarkStart w:id="453" w:name="_Toc18157"/>
      <w:r>
        <w:rPr>
          <w:rFonts w:hint="eastAsia" w:ascii="楷体_GB2312" w:hAnsi="楷体_GB2312" w:eastAsia="楷体_GB2312" w:cs="楷体_GB2312"/>
          <w:color w:val="auto"/>
          <w:spacing w:val="6"/>
          <w:kern w:val="0"/>
          <w:sz w:val="30"/>
          <w:szCs w:val="30"/>
          <w:highlight w:val="none"/>
          <w:shd w:val="clear" w:color="auto" w:fill="auto"/>
          <w:lang w:val="en-US" w:eastAsia="zh-CN" w:bidi="ar"/>
        </w:rPr>
        <w:t>（十一）健全经办服务与跨省协作体系</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Fonts w:hint="eastAsia" w:ascii="楷体_GB2312" w:hAnsi="楷体_GB2312" w:eastAsia="楷体_GB2312" w:cs="楷体_GB2312"/>
          <w:color w:val="auto"/>
          <w:spacing w:val="6"/>
          <w:kern w:val="0"/>
          <w:sz w:val="30"/>
          <w:szCs w:val="30"/>
          <w:highlight w:val="none"/>
          <w:shd w:val="clear" w:color="auto" w:fill="auto"/>
          <w:lang w:val="en-US" w:eastAsia="zh-CN" w:bidi="ar"/>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完善全省统一的经办管理规范，推动经办服务下沉。培育长护专员队伍，推动长期护理保险中心规范高效运行，固强经办力量。依托全省统一的医保信息平台，部署应用长期护理保险子系统。构建智能监管体系，实现事前、事中、事后全流程监管。加强不同场景服务规范，均衡城乡资源配置，缩小区域服务差距。在国家统一框架下，探索建立符合我省实际的长期护理保险跨省异地结算政策。</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textAlignment w:val="auto"/>
        <w:outlineLvl w:val="1"/>
        <w:rPr>
          <w:rFonts w:hint="eastAsia" w:ascii="楷体_GB2312" w:hAnsi="楷体_GB2312" w:eastAsia="楷体_GB2312" w:cs="楷体_GB2312"/>
          <w:color w:val="auto"/>
          <w:spacing w:val="6"/>
          <w:kern w:val="0"/>
          <w:sz w:val="30"/>
          <w:szCs w:val="30"/>
          <w:highlight w:val="none"/>
          <w:shd w:val="clear" w:color="auto" w:fill="auto"/>
          <w:lang w:val="en-US" w:eastAsia="zh-CN" w:bidi="ar"/>
        </w:rPr>
      </w:pPr>
      <w:bookmarkStart w:id="454" w:name="_Toc8792"/>
      <w:bookmarkStart w:id="455" w:name="_Toc31611"/>
      <w:bookmarkStart w:id="456" w:name="_Toc3806"/>
      <w:bookmarkStart w:id="457" w:name="_Toc12907"/>
      <w:bookmarkStart w:id="458" w:name="_Toc29702"/>
      <w:bookmarkStart w:id="459" w:name="_Toc4324"/>
      <w:bookmarkStart w:id="460" w:name="_Toc29126"/>
      <w:bookmarkStart w:id="461" w:name="_Toc11633"/>
      <w:bookmarkStart w:id="462" w:name="_Toc20786"/>
      <w:bookmarkStart w:id="463" w:name="_Toc19672"/>
      <w:bookmarkStart w:id="464" w:name="_Toc20880"/>
      <w:bookmarkStart w:id="465" w:name="_Toc16678"/>
      <w:bookmarkStart w:id="466" w:name="_Toc31259"/>
      <w:bookmarkStart w:id="467" w:name="_Toc28416"/>
      <w:bookmarkStart w:id="468" w:name="_Toc7742"/>
      <w:bookmarkStart w:id="469" w:name="_Toc22860"/>
      <w:bookmarkStart w:id="470" w:name="_Toc8406"/>
      <w:bookmarkStart w:id="471" w:name="_Toc9396"/>
      <w:bookmarkStart w:id="472" w:name="_Toc19587"/>
      <w:bookmarkStart w:id="473" w:name="_Toc10512"/>
      <w:bookmarkStart w:id="474" w:name="_Toc21333"/>
      <w:r>
        <w:rPr>
          <w:rFonts w:hint="eastAsia" w:ascii="楷体_GB2312" w:hAnsi="楷体_GB2312" w:eastAsia="楷体_GB2312" w:cs="楷体_GB2312"/>
          <w:color w:val="auto"/>
          <w:spacing w:val="6"/>
          <w:kern w:val="0"/>
          <w:sz w:val="30"/>
          <w:szCs w:val="30"/>
          <w:highlight w:val="none"/>
          <w:shd w:val="clear" w:color="auto" w:fill="auto"/>
          <w:lang w:val="en-US" w:eastAsia="zh-CN" w:bidi="ar"/>
        </w:rPr>
        <w:t>（十二）赋能康养产业发展</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Fonts w:hint="eastAsia" w:ascii="楷体_GB2312" w:hAnsi="楷体_GB2312" w:eastAsia="楷体_GB2312" w:cs="楷体_GB2312"/>
          <w:color w:val="auto"/>
          <w:spacing w:val="6"/>
          <w:kern w:val="0"/>
          <w:sz w:val="30"/>
          <w:szCs w:val="30"/>
          <w:highlight w:val="none"/>
          <w:shd w:val="clear" w:color="auto" w:fill="auto"/>
          <w:lang w:val="en-US" w:eastAsia="zh-CN" w:bidi="ar"/>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鼓励具备条件的各类职业院校培养长期照护师、长护专员等专业人才，支持社会资本创办各类护理服务机构和培训机构，培育社会化护理服务市场。加快推进人才队伍建设，建立健全长期照护师培训培养机制，规范职业技能等级认定工作。培育智能照护设备等长护服务创新场景，引导社会资本布局医养融合、康复辅具、智能照护产业，以制度杠杆撬动银发康养产业提质发展。</w:t>
      </w:r>
      <w:bookmarkEnd w:id="406"/>
      <w:bookmarkEnd w:id="407"/>
      <w:bookmarkEnd w:id="408"/>
      <w:bookmarkEnd w:id="409"/>
      <w:bookmarkEnd w:id="410"/>
      <w:bookmarkEnd w:id="411"/>
    </w:p>
    <w:p>
      <w:pPr>
        <w:pStyle w:val="5"/>
        <w:rPr>
          <w:rFonts w:hint="default"/>
          <w:color w:val="auto"/>
        </w:r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5000" w:type="pct"/>
            <w:shd w:val="clear" w:color="auto" w:fill="D7D7D7"/>
            <w:noWrap w:val="0"/>
            <w:tcMar>
              <w:top w:w="60" w:type="dxa"/>
              <w:left w:w="120" w:type="dxa"/>
              <w:bottom w:w="30" w:type="dxa"/>
              <w:right w:w="120" w:type="dxa"/>
            </w:tcMar>
            <w:vAlign w:val="center"/>
          </w:tcPr>
          <w:p>
            <w:pPr>
              <w:keepNext w:val="0"/>
              <w:keepLines w:val="0"/>
              <w:pageBreakBefore w:val="0"/>
              <w:widowControl w:val="0"/>
              <w:kinsoku/>
              <w:wordWrap/>
              <w:overflowPunct w:val="0"/>
              <w:topLinePunct w:val="0"/>
              <w:autoSpaceDE/>
              <w:autoSpaceDN/>
              <w:bidi w:val="0"/>
              <w:adjustRightInd w:val="0"/>
              <w:snapToGrid w:val="0"/>
              <w:spacing w:line="400" w:lineRule="exact"/>
              <w:jc w:val="center"/>
              <w:textAlignment w:val="auto"/>
              <w:rPr>
                <w:rFonts w:hint="default" w:ascii="Times New Roman" w:hAnsi="Times New Roman" w:eastAsia="黑体" w:cs="Times New Roman"/>
                <w:b w:val="0"/>
                <w:bCs w:val="0"/>
                <w:color w:val="auto"/>
                <w:spacing w:val="0"/>
                <w:sz w:val="28"/>
                <w:szCs w:val="28"/>
                <w:highlight w:val="none"/>
                <w:lang w:val="en-US" w:eastAsia="zh-CN"/>
              </w:rPr>
            </w:pPr>
            <w:r>
              <w:rPr>
                <w:rFonts w:hint="default" w:ascii="Times New Roman" w:hAnsi="Times New Roman" w:eastAsia="黑体" w:cs="Times New Roman"/>
                <w:b w:val="0"/>
                <w:bCs w:val="0"/>
                <w:color w:val="auto"/>
                <w:spacing w:val="0"/>
                <w:sz w:val="28"/>
                <w:szCs w:val="28"/>
                <w:highlight w:val="none"/>
                <w:lang w:val="en-US" w:eastAsia="zh-CN"/>
              </w:rPr>
              <w:t>重点任务1 健全长期护理保险制度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59" w:hRule="atLeast"/>
        </w:trPr>
        <w:tc>
          <w:tcPr>
            <w:tcW w:w="5000" w:type="pct"/>
            <w:noWrap w:val="0"/>
            <w:tcMar>
              <w:top w:w="60" w:type="dxa"/>
              <w:left w:w="120" w:type="dxa"/>
              <w:bottom w:w="30" w:type="dxa"/>
              <w:right w:w="120" w:type="dxa"/>
            </w:tcMar>
            <w:vAlign w:val="center"/>
          </w:tcPr>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6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1.长护险省级统筹</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6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
              </w:rPr>
              <w:t>完善</w:t>
            </w:r>
            <w:r>
              <w:rPr>
                <w:rFonts w:hint="default" w:ascii="Times New Roman" w:hAnsi="Times New Roman" w:eastAsia="宋体" w:cs="Times New Roman"/>
                <w:color w:val="auto"/>
                <w:spacing w:val="0"/>
                <w:sz w:val="24"/>
                <w:szCs w:val="24"/>
                <w:highlight w:val="none"/>
                <w:lang w:val="en-US" w:eastAsia="zh-CN"/>
              </w:rPr>
              <w:t>长期护理保险省级统筹</w:t>
            </w:r>
            <w:r>
              <w:rPr>
                <w:rFonts w:hint="default" w:ascii="Times New Roman" w:hAnsi="Times New Roman" w:eastAsia="宋体" w:cs="Times New Roman"/>
                <w:color w:val="auto"/>
                <w:spacing w:val="0"/>
                <w:sz w:val="24"/>
                <w:szCs w:val="24"/>
                <w:highlight w:val="none"/>
                <w:lang w:val="en-US" w:eastAsia="zh"/>
              </w:rPr>
              <w:t>政策</w:t>
            </w:r>
            <w:r>
              <w:rPr>
                <w:rFonts w:hint="default" w:ascii="Times New Roman" w:hAnsi="Times New Roman" w:eastAsia="宋体" w:cs="Times New Roman"/>
                <w:color w:val="auto"/>
                <w:spacing w:val="0"/>
                <w:sz w:val="24"/>
                <w:szCs w:val="24"/>
                <w:highlight w:val="none"/>
                <w:lang w:val="en-US" w:eastAsia="zh-CN"/>
              </w:rPr>
              <w:t>，探索建立省、市（县）两级责任分担机制，统一筹资标准、待遇水平、评估标准和经办流程。</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6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2.长护险智能监管平台建设</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6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构建认定、服务、支付全流程智慧管理体系，探索场景捕捉、热成像等新技术在长护险服务场景的监管应用。</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6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3.长期照护服务产业培育</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6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支持长期照护师职业化培育，引导定点护理机构连锁化、品牌化运营，培育智能照护设备等长护服务创新场景。</w:t>
            </w:r>
          </w:p>
        </w:tc>
      </w:tr>
    </w:tbl>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0"/>
        <w:rPr>
          <w:rFonts w:hint="eastAsia" w:ascii="黑体" w:hAnsi="黑体" w:eastAsia="黑体" w:cs="黑体"/>
          <w:color w:val="auto"/>
          <w:spacing w:val="6"/>
          <w:sz w:val="30"/>
          <w:szCs w:val="30"/>
          <w:highlight w:val="none"/>
          <w:lang w:val="en-US" w:eastAsia="zh-CN"/>
        </w:rPr>
      </w:pPr>
      <w:bookmarkStart w:id="475" w:name="_Toc784"/>
      <w:bookmarkStart w:id="476" w:name="_Toc31770"/>
      <w:bookmarkStart w:id="477" w:name="_Toc1628"/>
      <w:bookmarkStart w:id="478" w:name="_Toc11244"/>
      <w:bookmarkStart w:id="479" w:name="_Toc2306"/>
      <w:bookmarkStart w:id="480" w:name="_Toc30163"/>
      <w:bookmarkStart w:id="481" w:name="_Toc6097"/>
      <w:bookmarkStart w:id="482" w:name="_Toc12596"/>
      <w:bookmarkStart w:id="483" w:name="_Toc7263"/>
      <w:bookmarkStart w:id="484" w:name="_Toc3392"/>
      <w:bookmarkStart w:id="485" w:name="_Toc29688"/>
      <w:bookmarkStart w:id="486" w:name="_Toc28976016"/>
      <w:bookmarkStart w:id="487" w:name="_Toc17573"/>
      <w:bookmarkStart w:id="488" w:name="_Toc32585"/>
      <w:bookmarkStart w:id="489" w:name="_Toc14932"/>
      <w:bookmarkStart w:id="490" w:name="_Toc20113"/>
      <w:bookmarkStart w:id="491" w:name="_Toc27237"/>
      <w:bookmarkStart w:id="492" w:name="_Toc7801"/>
      <w:bookmarkStart w:id="493" w:name="_Toc1605699499"/>
      <w:bookmarkStart w:id="494" w:name="_Toc7550"/>
      <w:bookmarkStart w:id="495" w:name="_Toc1519"/>
      <w:bookmarkStart w:id="496" w:name="_Toc15147"/>
      <w:bookmarkStart w:id="497" w:name="_Toc15550"/>
      <w:bookmarkStart w:id="498" w:name="_Toc8662"/>
      <w:bookmarkStart w:id="499" w:name="_Toc31192"/>
      <w:bookmarkStart w:id="500" w:name="_Toc32209"/>
      <w:bookmarkStart w:id="501" w:name="_Toc12387"/>
      <w:r>
        <w:rPr>
          <w:rFonts w:hint="eastAsia" w:ascii="黑体" w:hAnsi="黑体" w:eastAsia="黑体" w:cs="黑体"/>
          <w:color w:val="auto"/>
          <w:spacing w:val="6"/>
          <w:sz w:val="30"/>
          <w:szCs w:val="30"/>
          <w:highlight w:val="none"/>
          <w:lang w:val="en-US" w:eastAsia="zh-CN"/>
        </w:rPr>
        <w:t>四、深化医药服务改革</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发挥医保支付在引导规范医疗服务行为、调节资源配置中的杠杆作用，纵深推进支付方式、医药价格调整、集中带量采购等关键领域改革，充分发挥医保战略购买和目录引导作用，推进医药产业创新发展。</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78" w:lineRule="exact"/>
        <w:ind w:leftChars="0" w:firstLine="624" w:firstLineChars="200"/>
        <w:jc w:val="both"/>
        <w:textAlignment w:val="auto"/>
        <w:outlineLvl w:val="1"/>
        <w:rPr>
          <w:rFonts w:hint="eastAsia" w:ascii="楷体_GB2312" w:hAnsi="楷体_GB2312" w:eastAsia="楷体_GB2312" w:cs="楷体_GB2312"/>
          <w:bCs/>
          <w:color w:val="auto"/>
          <w:spacing w:val="6"/>
          <w:kern w:val="2"/>
          <w:sz w:val="30"/>
          <w:szCs w:val="30"/>
          <w:highlight w:val="none"/>
          <w:lang w:val="en-US" w:eastAsia="zh-CN" w:bidi="ar-SA"/>
        </w:rPr>
      </w:pPr>
      <w:bookmarkStart w:id="502" w:name="_Toc18887"/>
      <w:bookmarkStart w:id="503" w:name="_Toc24745"/>
      <w:bookmarkStart w:id="504" w:name="_Toc22115"/>
      <w:bookmarkStart w:id="505" w:name="_Toc28074"/>
      <w:bookmarkStart w:id="506" w:name="_Toc17820"/>
      <w:bookmarkStart w:id="507" w:name="_Toc7603"/>
      <w:bookmarkStart w:id="508" w:name="_Toc21402"/>
      <w:bookmarkStart w:id="509" w:name="_Toc4848"/>
      <w:bookmarkStart w:id="510" w:name="_Toc15198"/>
      <w:bookmarkStart w:id="511" w:name="_Toc19850"/>
      <w:bookmarkStart w:id="512" w:name="_Toc13463"/>
      <w:bookmarkStart w:id="513" w:name="_Toc14332"/>
      <w:bookmarkStart w:id="514" w:name="_Toc5790"/>
      <w:bookmarkStart w:id="515" w:name="_Toc4563"/>
      <w:bookmarkStart w:id="516" w:name="_Toc3046"/>
      <w:bookmarkStart w:id="517" w:name="_Toc3434"/>
      <w:bookmarkStart w:id="518" w:name="_Toc20583"/>
      <w:bookmarkStart w:id="519" w:name="_Toc20505"/>
      <w:bookmarkStart w:id="520" w:name="_Toc672"/>
      <w:bookmarkStart w:id="521" w:name="_Toc14940"/>
      <w:bookmarkStart w:id="522" w:name="_Toc6841"/>
      <w:bookmarkStart w:id="523" w:name="_Toc17668"/>
      <w:bookmarkStart w:id="524" w:name="_Toc1611234731"/>
      <w:bookmarkStart w:id="525" w:name="_Toc1161933659"/>
      <w:bookmarkStart w:id="526" w:name="_Toc24191"/>
      <w:bookmarkStart w:id="527" w:name="_Toc15792"/>
      <w:bookmarkStart w:id="528" w:name="_Toc3017"/>
      <w:r>
        <w:rPr>
          <w:rFonts w:hint="eastAsia" w:ascii="楷体_GB2312" w:hAnsi="楷体_GB2312" w:eastAsia="楷体_GB2312" w:cs="楷体_GB2312"/>
          <w:bCs/>
          <w:color w:val="auto"/>
          <w:spacing w:val="6"/>
          <w:kern w:val="2"/>
          <w:sz w:val="30"/>
          <w:szCs w:val="30"/>
          <w:highlight w:val="none"/>
          <w:lang w:val="en-US" w:eastAsia="zh-CN" w:bidi="ar-SA"/>
        </w:rPr>
        <w:t>（十三）深化医保支付方式改革</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Fonts w:hint="eastAsia" w:ascii="楷体_GB2312" w:hAnsi="楷体_GB2312" w:eastAsia="楷体_GB2312" w:cs="楷体_GB2312"/>
          <w:bCs/>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bidi="ar-SA"/>
        </w:rPr>
      </w:pPr>
      <w:r>
        <w:rPr>
          <w:rFonts w:hint="eastAsia" w:ascii="仿宋_GB2312" w:hAnsi="仿宋_GB2312" w:eastAsia="仿宋_GB2312" w:cs="仿宋_GB2312"/>
          <w:color w:val="auto"/>
          <w:spacing w:val="6"/>
          <w:sz w:val="30"/>
          <w:szCs w:val="30"/>
          <w:highlight w:val="none"/>
          <w:lang w:val="en-US" w:eastAsia="zh-CN"/>
        </w:rPr>
        <w:t>做实医保基金总额管理，完善“总额管理、结余留用、合理超支分担”的激励约束机制。深化以按病种付费为主的多元复合式医保支付方式改革，积极开展按病种付费管理，迭代升级按病种付费分组方案，不断</w:t>
      </w:r>
      <w:r>
        <w:rPr>
          <w:rFonts w:hint="eastAsia" w:ascii="仿宋_GB2312" w:hAnsi="仿宋_GB2312" w:eastAsia="仿宋_GB2312" w:cs="仿宋_GB2312"/>
          <w:color w:val="auto"/>
          <w:spacing w:val="6"/>
          <w:sz w:val="30"/>
          <w:szCs w:val="30"/>
          <w:highlight w:val="none"/>
          <w:lang w:val="en-US" w:eastAsia="zh"/>
        </w:rPr>
        <w:t>扩大</w:t>
      </w:r>
      <w:r>
        <w:rPr>
          <w:rFonts w:hint="eastAsia" w:ascii="仿宋_GB2312" w:hAnsi="仿宋_GB2312" w:eastAsia="仿宋_GB2312" w:cs="仿宋_GB2312"/>
          <w:color w:val="auto"/>
          <w:spacing w:val="6"/>
          <w:sz w:val="30"/>
          <w:szCs w:val="30"/>
          <w:highlight w:val="none"/>
          <w:lang w:val="en-US" w:eastAsia="zh-CN"/>
        </w:rPr>
        <w:t>基层病种、中医优势病种范围，探索推进DRG付费与DIP付费融合发展，推动实现异地就医按病种付费。开展门诊支付方式改革。优化</w:t>
      </w:r>
      <w:r>
        <w:rPr>
          <w:rFonts w:hint="eastAsia" w:ascii="仿宋_GB2312" w:hAnsi="仿宋_GB2312" w:eastAsia="仿宋_GB2312" w:cs="仿宋_GB2312"/>
          <w:color w:val="auto"/>
          <w:spacing w:val="6"/>
          <w:sz w:val="30"/>
          <w:szCs w:val="30"/>
          <w:highlight w:val="none"/>
          <w:lang w:val="en-US" w:eastAsia="zh"/>
        </w:rPr>
        <w:t>基层医疗卫生机构</w:t>
      </w:r>
      <w:r>
        <w:rPr>
          <w:rFonts w:hint="eastAsia" w:ascii="仿宋_GB2312" w:hAnsi="仿宋_GB2312" w:eastAsia="仿宋_GB2312" w:cs="仿宋_GB2312"/>
          <w:color w:val="auto"/>
          <w:spacing w:val="6"/>
          <w:sz w:val="30"/>
          <w:szCs w:val="30"/>
          <w:highlight w:val="none"/>
          <w:lang w:val="en-US" w:eastAsia="zh-CN"/>
        </w:rPr>
        <w:t>日间病床支付政策，探索增加中医医院开展日间病床病种。完善康复和精神类等长期住院服务按床日付费政策，探索推进医保协议精准签约到床位。</w:t>
      </w:r>
      <w:r>
        <w:rPr>
          <w:rFonts w:hint="eastAsia" w:ascii="仿宋_GB2312" w:hAnsi="仿宋_GB2312" w:eastAsia="仿宋_GB2312" w:cs="仿宋_GB2312"/>
          <w:color w:val="auto"/>
          <w:spacing w:val="6"/>
          <w:sz w:val="30"/>
          <w:szCs w:val="30"/>
          <w:highlight w:val="none"/>
          <w:lang w:val="en-US" w:eastAsia="zh"/>
        </w:rPr>
        <w:t>全面开展</w:t>
      </w:r>
      <w:r>
        <w:rPr>
          <w:rFonts w:hint="eastAsia" w:ascii="仿宋_GB2312" w:hAnsi="仿宋_GB2312" w:eastAsia="仿宋_GB2312" w:cs="仿宋_GB2312"/>
          <w:color w:val="auto"/>
          <w:spacing w:val="6"/>
          <w:sz w:val="30"/>
          <w:szCs w:val="30"/>
          <w:highlight w:val="none"/>
          <w:lang w:val="en-US" w:eastAsia="zh-CN"/>
        </w:rPr>
        <w:t>紧密型县域医共体总额付费，</w:t>
      </w:r>
      <w:r>
        <w:rPr>
          <w:rFonts w:hint="eastAsia" w:ascii="仿宋_GB2312" w:hAnsi="仿宋_GB2312" w:eastAsia="仿宋_GB2312" w:cs="仿宋_GB2312"/>
          <w:color w:val="auto"/>
          <w:spacing w:val="6"/>
          <w:sz w:val="30"/>
          <w:szCs w:val="30"/>
          <w:highlight w:val="none"/>
          <w:lang w:val="en-US" w:eastAsia="zh"/>
        </w:rPr>
        <w:t>探索城市医疗集团总额付费，</w:t>
      </w:r>
      <w:r>
        <w:rPr>
          <w:rFonts w:hint="eastAsia" w:ascii="仿宋_GB2312" w:hAnsi="仿宋_GB2312" w:eastAsia="仿宋_GB2312" w:cs="仿宋_GB2312"/>
          <w:color w:val="auto"/>
          <w:spacing w:val="6"/>
          <w:sz w:val="30"/>
          <w:szCs w:val="30"/>
          <w:highlight w:val="none"/>
          <w:lang w:val="en-US" w:eastAsia="zh-CN"/>
        </w:rPr>
        <w:t>完善绩效考评体系，推动牵头医院和成员单位转变诊疗方式，主动开展疾病预防和健康管理。鼓励有条件的地区探索统筹使用基层医疗卫生机构医保基金和基本公共卫生服务资金，支持基层医疗卫生机构拓展家庭医生签约服务内容。健全医保支付配套机制，常态化开展医保数据定向发布。</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78" w:lineRule="exact"/>
        <w:ind w:leftChars="0" w:firstLine="624" w:firstLineChars="200"/>
        <w:jc w:val="both"/>
        <w:textAlignment w:val="auto"/>
        <w:outlineLvl w:val="1"/>
        <w:rPr>
          <w:rFonts w:hint="eastAsia" w:ascii="楷体_GB2312" w:hAnsi="楷体_GB2312" w:eastAsia="楷体_GB2312" w:cs="楷体_GB2312"/>
          <w:bCs/>
          <w:color w:val="auto"/>
          <w:spacing w:val="6"/>
          <w:kern w:val="2"/>
          <w:sz w:val="30"/>
          <w:szCs w:val="30"/>
          <w:highlight w:val="none"/>
          <w:lang w:val="en-US" w:eastAsia="zh-CN" w:bidi="ar-SA"/>
        </w:rPr>
      </w:pPr>
      <w:bookmarkStart w:id="529" w:name="_Toc577"/>
      <w:bookmarkStart w:id="530" w:name="_Toc28982"/>
      <w:bookmarkStart w:id="531" w:name="_Toc29401"/>
      <w:bookmarkStart w:id="532" w:name="_Toc8975"/>
      <w:bookmarkStart w:id="533" w:name="_Toc19101"/>
      <w:bookmarkStart w:id="534" w:name="_Toc27716"/>
      <w:bookmarkStart w:id="535" w:name="_Toc21083"/>
      <w:bookmarkStart w:id="536" w:name="_Toc25011"/>
      <w:bookmarkStart w:id="537" w:name="_Toc22783"/>
      <w:bookmarkStart w:id="538" w:name="_Toc19266"/>
      <w:bookmarkStart w:id="539" w:name="_Toc5493"/>
      <w:bookmarkStart w:id="540" w:name="_Toc14992"/>
      <w:bookmarkStart w:id="541" w:name="_Toc26156"/>
      <w:bookmarkStart w:id="542" w:name="_Toc27662"/>
      <w:bookmarkStart w:id="543" w:name="_Toc13084"/>
      <w:bookmarkStart w:id="544" w:name="_Toc4281"/>
      <w:bookmarkStart w:id="545" w:name="_Toc4877"/>
      <w:bookmarkStart w:id="546" w:name="_Toc15958"/>
      <w:bookmarkStart w:id="547" w:name="_Toc14146"/>
      <w:bookmarkStart w:id="548" w:name="_Toc21782"/>
      <w:bookmarkStart w:id="549" w:name="_Toc32294"/>
      <w:r>
        <w:rPr>
          <w:rFonts w:hint="eastAsia" w:ascii="楷体_GB2312" w:hAnsi="楷体_GB2312" w:eastAsia="楷体_GB2312" w:cs="楷体_GB2312"/>
          <w:bCs/>
          <w:color w:val="auto"/>
          <w:spacing w:val="6"/>
          <w:kern w:val="2"/>
          <w:sz w:val="30"/>
          <w:szCs w:val="30"/>
          <w:highlight w:val="none"/>
          <w:lang w:val="en-US" w:eastAsia="zh-CN" w:bidi="ar-SA"/>
        </w:rPr>
        <w:t>（十四）完善医疗服务价格形成机制</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Fonts w:hint="eastAsia" w:ascii="楷体_GB2312" w:hAnsi="楷体_GB2312" w:eastAsia="楷体_GB2312" w:cs="楷体_GB2312"/>
          <w:bCs/>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全面落实国家医疗服务价格项目</w:t>
      </w:r>
      <w:r>
        <w:rPr>
          <w:rFonts w:hint="eastAsia" w:ascii="仿宋_GB2312" w:hAnsi="仿宋_GB2312" w:eastAsia="仿宋_GB2312" w:cs="仿宋_GB2312"/>
          <w:color w:val="auto"/>
          <w:spacing w:val="6"/>
          <w:sz w:val="30"/>
          <w:szCs w:val="30"/>
          <w:highlight w:val="none"/>
          <w:lang w:val="en-US" w:eastAsia="zh"/>
        </w:rPr>
        <w:t>40批</w:t>
      </w:r>
      <w:r>
        <w:rPr>
          <w:rFonts w:hint="eastAsia" w:ascii="仿宋_GB2312" w:hAnsi="仿宋_GB2312" w:eastAsia="仿宋_GB2312" w:cs="仿宋_GB2312"/>
          <w:color w:val="auto"/>
          <w:spacing w:val="6"/>
          <w:sz w:val="30"/>
          <w:szCs w:val="30"/>
          <w:highlight w:val="none"/>
          <w:lang w:val="en-US" w:eastAsia="zh-CN"/>
        </w:rPr>
        <w:t>立项指南，助力形成全国统一的医疗服务项目目录。积极推进医疗服务价格改革，合理确定“十五五”期间全省医疗服务价格调整总量，常态化开展医疗服务价格和成本监测，定期开展调价评估，动态调整医疗服务价格。健全医疗服务价格项目准入和退出机制，加快新增医疗服务价格项目审核速度，探索建立高水平新技术新产品医疗服务价格预立项制度，促进医疗技术创新和临床应用。依托全国医疗服务价格一览表，定期评估区域间和学科间比价关系，持续优化医疗服务价格结构。充分考虑中医医疗特点，支持中医传承创新发展。落实适应老龄化社会需求的医疗服务项目价格政策，优化康复类、护理类医疗服务项目价格。</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78" w:lineRule="exact"/>
        <w:ind w:leftChars="0" w:firstLine="624" w:firstLineChars="200"/>
        <w:jc w:val="both"/>
        <w:textAlignment w:val="auto"/>
        <w:outlineLvl w:val="1"/>
        <w:rPr>
          <w:rFonts w:hint="eastAsia" w:ascii="楷体_GB2312" w:hAnsi="楷体_GB2312" w:eastAsia="楷体_GB2312" w:cs="楷体_GB2312"/>
          <w:bCs/>
          <w:color w:val="auto"/>
          <w:spacing w:val="6"/>
          <w:kern w:val="2"/>
          <w:sz w:val="30"/>
          <w:szCs w:val="30"/>
          <w:highlight w:val="none"/>
          <w:lang w:val="en-US" w:eastAsia="zh-CN" w:bidi="ar-SA"/>
        </w:rPr>
      </w:pPr>
      <w:bookmarkStart w:id="550" w:name="_Toc6950"/>
      <w:bookmarkStart w:id="551" w:name="_Toc25044"/>
      <w:bookmarkStart w:id="552" w:name="_Toc18090"/>
      <w:bookmarkStart w:id="553" w:name="_Toc26646"/>
      <w:bookmarkStart w:id="554" w:name="_Toc23899"/>
      <w:bookmarkStart w:id="555" w:name="_Toc20941"/>
      <w:bookmarkStart w:id="556" w:name="_Toc4924"/>
      <w:bookmarkStart w:id="557" w:name="_Toc10204"/>
      <w:bookmarkStart w:id="558" w:name="_Toc19528"/>
      <w:bookmarkStart w:id="559" w:name="_Toc25730"/>
      <w:bookmarkStart w:id="560" w:name="_Toc15507"/>
      <w:bookmarkStart w:id="561" w:name="_Toc23935"/>
      <w:bookmarkStart w:id="562" w:name="_Toc1187"/>
      <w:bookmarkStart w:id="563" w:name="_Toc7049"/>
      <w:bookmarkStart w:id="564" w:name="_Toc23282"/>
      <w:bookmarkStart w:id="565" w:name="_Toc28673"/>
      <w:bookmarkStart w:id="566" w:name="_Toc1884"/>
      <w:bookmarkStart w:id="567" w:name="_Toc3640"/>
      <w:bookmarkStart w:id="568" w:name="_Toc12845"/>
      <w:bookmarkStart w:id="569" w:name="_Toc31315"/>
      <w:bookmarkStart w:id="570" w:name="_Toc24802"/>
      <w:r>
        <w:rPr>
          <w:rFonts w:hint="eastAsia" w:ascii="楷体_GB2312" w:hAnsi="楷体_GB2312" w:eastAsia="楷体_GB2312" w:cs="楷体_GB2312"/>
          <w:bCs/>
          <w:color w:val="auto"/>
          <w:spacing w:val="6"/>
          <w:kern w:val="2"/>
          <w:sz w:val="30"/>
          <w:szCs w:val="30"/>
          <w:highlight w:val="none"/>
          <w:lang w:val="en-US" w:eastAsia="zh-CN" w:bidi="ar-SA"/>
        </w:rPr>
        <w:t>（十五）健全药品耗材价格形成机制</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Fonts w:hint="eastAsia" w:ascii="楷体_GB2312" w:hAnsi="楷体_GB2312" w:eastAsia="楷体_GB2312" w:cs="楷体_GB2312"/>
          <w:bCs/>
          <w:color w:val="auto"/>
          <w:spacing w:val="6"/>
          <w:kern w:val="2"/>
          <w:sz w:val="30"/>
          <w:szCs w:val="30"/>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0"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完善我省药品耗材集中带量采购政策，按照“应采尽采、应跟尽跟”原则，</w:t>
      </w:r>
      <w:r>
        <w:rPr>
          <w:rFonts w:hint="eastAsia" w:ascii="仿宋_GB2312" w:hAnsi="仿宋_GB2312" w:eastAsia="仿宋_GB2312" w:cs="仿宋_GB2312"/>
          <w:color w:val="auto"/>
          <w:spacing w:val="6"/>
          <w:sz w:val="30"/>
          <w:szCs w:val="30"/>
          <w:highlight w:val="none"/>
          <w:lang w:val="en-US" w:eastAsia="zh-CN" w:bidi="ar-SA"/>
        </w:rPr>
        <w:t>推进国家及省际联盟集采中选结果落地，做好协议期满接续。加强药品和耗材集中带量采购执行，协同行业主管部门加强医疗机构报量和履约情况监督</w:t>
      </w:r>
      <w:r>
        <w:rPr>
          <w:rFonts w:hint="eastAsia" w:ascii="仿宋_GB2312" w:hAnsi="仿宋_GB2312" w:eastAsia="仿宋_GB2312" w:cs="仿宋_GB2312"/>
          <w:color w:val="auto"/>
          <w:spacing w:val="6"/>
          <w:sz w:val="30"/>
          <w:szCs w:val="30"/>
          <w:highlight w:val="none"/>
          <w:lang w:val="en-US" w:eastAsia="zh-CN"/>
        </w:rPr>
        <w:t>。推动集采药品、医用耗材逐步向基层医疗卫生机构延伸，鼓励定点民营医疗机构、定点零售药店参与集采。推进“医保云药房”建设，依托线上渠道扩大集采药品、国谈创新药供给，打通线上线下购药医保结算，进一步提升群众就医购药便利性和可及性。推进医保支付与集采价格联动，以中选价为基准制定医保支付标准。完善我省医药采购平台，优化挂网采购规则，分类做好药品耗材挂网价格管理。加强药品耗材价格治理。完善医药价格形成机制，依托真实世界数据为科学定价提供参考。完善常态化多渠道比价机制，建立价格信息监测预警体系，定期监测价格和供应变化情况，优化招采价格引导机制和信用评价机制。</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70" w:lineRule="exact"/>
        <w:ind w:leftChars="0" w:firstLine="624" w:firstLineChars="200"/>
        <w:jc w:val="both"/>
        <w:textAlignment w:val="auto"/>
        <w:outlineLvl w:val="1"/>
        <w:rPr>
          <w:rFonts w:hint="eastAsia" w:ascii="楷体_GB2312" w:hAnsi="楷体_GB2312" w:eastAsia="楷体_GB2312" w:cs="楷体_GB2312"/>
          <w:bCs/>
          <w:color w:val="auto"/>
          <w:spacing w:val="6"/>
          <w:kern w:val="2"/>
          <w:sz w:val="30"/>
          <w:szCs w:val="30"/>
          <w:highlight w:val="none"/>
          <w:lang w:val="en-US" w:eastAsia="zh-CN" w:bidi="ar-SA"/>
        </w:rPr>
      </w:pPr>
      <w:bookmarkStart w:id="571" w:name="_Toc1931"/>
      <w:bookmarkStart w:id="572" w:name="_Toc14595"/>
      <w:bookmarkStart w:id="573" w:name="_Toc14310"/>
      <w:bookmarkStart w:id="574" w:name="_Toc1878"/>
      <w:bookmarkStart w:id="575" w:name="_Toc7120"/>
      <w:bookmarkStart w:id="576" w:name="_Toc31363"/>
      <w:bookmarkStart w:id="577" w:name="_Toc32367"/>
      <w:bookmarkStart w:id="578" w:name="_Toc17320"/>
      <w:bookmarkStart w:id="579" w:name="_Toc3992"/>
      <w:bookmarkStart w:id="580" w:name="_Toc11739"/>
      <w:bookmarkStart w:id="581" w:name="_Toc25566"/>
      <w:bookmarkStart w:id="582" w:name="_Toc2192"/>
      <w:bookmarkStart w:id="583" w:name="_Toc7460"/>
      <w:bookmarkStart w:id="584" w:name="_Toc5732"/>
      <w:bookmarkStart w:id="585" w:name="_Toc14963"/>
      <w:bookmarkStart w:id="586" w:name="_Toc30508"/>
      <w:bookmarkStart w:id="587" w:name="_Toc28735"/>
      <w:bookmarkStart w:id="588" w:name="_Toc4052"/>
      <w:bookmarkStart w:id="589" w:name="_Toc25064"/>
      <w:bookmarkStart w:id="590" w:name="_Toc1999"/>
      <w:bookmarkStart w:id="591" w:name="_Toc4023"/>
      <w:r>
        <w:rPr>
          <w:rFonts w:hint="eastAsia" w:ascii="楷体_GB2312" w:hAnsi="楷体_GB2312" w:eastAsia="楷体_GB2312" w:cs="楷体_GB2312"/>
          <w:bCs/>
          <w:color w:val="auto"/>
          <w:spacing w:val="6"/>
          <w:kern w:val="2"/>
          <w:sz w:val="30"/>
          <w:szCs w:val="30"/>
          <w:highlight w:val="none"/>
          <w:lang w:val="en-US" w:eastAsia="zh-CN" w:bidi="ar-SA"/>
        </w:rPr>
        <w:t>（十六）优化医保目录管理</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Fonts w:hint="eastAsia" w:ascii="楷体_GB2312" w:hAnsi="楷体_GB2312" w:eastAsia="楷体_GB2312" w:cs="楷体_GB2312"/>
          <w:bCs/>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line="570"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lang w:val="en-US" w:eastAsia="zh"/>
        </w:rPr>
        <w:t>全面落地执行国家药品目录，建立动态调整机制，逐步完善药品、</w:t>
      </w:r>
      <w:r>
        <w:rPr>
          <w:rFonts w:hint="eastAsia" w:ascii="仿宋_GB2312" w:hAnsi="仿宋_GB2312" w:eastAsia="仿宋_GB2312" w:cs="仿宋_GB2312"/>
          <w:color w:val="auto"/>
          <w:spacing w:val="6"/>
          <w:sz w:val="30"/>
          <w:szCs w:val="30"/>
          <w:highlight w:val="none"/>
          <w:lang w:val="en-US" w:eastAsia="zh-CN"/>
        </w:rPr>
        <w:t>医用耗材</w:t>
      </w:r>
      <w:r>
        <w:rPr>
          <w:rFonts w:hint="eastAsia" w:ascii="仿宋_GB2312" w:hAnsi="仿宋_GB2312" w:eastAsia="仿宋_GB2312" w:cs="仿宋_GB2312"/>
          <w:color w:val="auto"/>
          <w:spacing w:val="6"/>
          <w:sz w:val="30"/>
          <w:szCs w:val="30"/>
          <w:highlight w:val="none"/>
          <w:lang w:val="en-US" w:eastAsia="zh"/>
        </w:rPr>
        <w:t>和</w:t>
      </w:r>
      <w:r>
        <w:rPr>
          <w:rFonts w:hint="eastAsia" w:ascii="仿宋_GB2312" w:hAnsi="仿宋_GB2312" w:eastAsia="仿宋_GB2312" w:cs="仿宋_GB2312"/>
          <w:color w:val="auto"/>
          <w:spacing w:val="6"/>
          <w:sz w:val="30"/>
          <w:szCs w:val="30"/>
          <w:highlight w:val="none"/>
          <w:lang w:val="en-US" w:eastAsia="zh-CN"/>
        </w:rPr>
        <w:t>诊疗项目</w:t>
      </w:r>
      <w:r>
        <w:rPr>
          <w:rFonts w:hint="eastAsia" w:ascii="仿宋_GB2312" w:hAnsi="仿宋_GB2312" w:eastAsia="仿宋_GB2312" w:cs="仿宋_GB2312"/>
          <w:color w:val="auto"/>
          <w:spacing w:val="6"/>
          <w:sz w:val="30"/>
          <w:szCs w:val="30"/>
          <w:highlight w:val="none"/>
          <w:lang w:val="en-US" w:eastAsia="zh"/>
        </w:rPr>
        <w:t>目录</w:t>
      </w:r>
      <w:r>
        <w:rPr>
          <w:rFonts w:hint="eastAsia" w:ascii="仿宋_GB2312" w:hAnsi="仿宋_GB2312" w:eastAsia="仿宋_GB2312" w:cs="仿宋_GB2312"/>
          <w:color w:val="auto"/>
          <w:spacing w:val="6"/>
          <w:sz w:val="30"/>
          <w:szCs w:val="30"/>
          <w:highlight w:val="none"/>
          <w:lang w:val="en-US" w:eastAsia="zh-CN"/>
        </w:rPr>
        <w:t>。根据医保目录管理权限，按照临床价值高、患者获益明显、经济性评价优良的标准，将符合要求的院内制剂、中药饮片和民族药按程序纳入我省医保药品目录。完善国家谈判药“双通道”管理机制，落实国家谈判药品单独支付政策。坚持“保基本”的功能定位，优先将临床必需、安全有效、经济适宜的医用耗材和医疗服务项目纳入医保目录范围。健全</w:t>
      </w:r>
      <w:r>
        <w:rPr>
          <w:rFonts w:hint="eastAsia" w:ascii="仿宋_GB2312" w:hAnsi="仿宋_GB2312" w:eastAsia="仿宋_GB2312" w:cs="仿宋_GB2312"/>
          <w:color w:val="auto"/>
          <w:spacing w:val="6"/>
          <w:sz w:val="30"/>
          <w:szCs w:val="30"/>
          <w:highlight w:val="none"/>
          <w:lang w:eastAsia="zh-CN"/>
        </w:rPr>
        <w:t>我省基本医疗保险医用耗材支付管理制度</w:t>
      </w:r>
      <w:r>
        <w:rPr>
          <w:rFonts w:hint="eastAsia" w:ascii="仿宋_GB2312" w:hAnsi="仿宋_GB2312" w:eastAsia="仿宋_GB2312" w:cs="仿宋_GB2312"/>
          <w:color w:val="auto"/>
          <w:spacing w:val="6"/>
          <w:sz w:val="30"/>
          <w:szCs w:val="30"/>
          <w:highlight w:val="none"/>
          <w:lang w:val="en-US" w:eastAsia="zh-CN"/>
        </w:rPr>
        <w:t>，逐步向医保通用名管理过渡。积极开展黎族苗族医药技术、热带病防治服务等特色医疗服务项目评估，并按程序和相关规定纳入我省医保支付范围。</w:t>
      </w:r>
    </w:p>
    <w:bookmarkEnd w:id="523"/>
    <w:bookmarkEnd w:id="524"/>
    <w:bookmarkEnd w:id="525"/>
    <w:bookmarkEnd w:id="526"/>
    <w:bookmarkEnd w:id="527"/>
    <w:bookmarkEnd w:id="528"/>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70" w:lineRule="exact"/>
        <w:ind w:leftChars="0" w:firstLine="624" w:firstLineChars="200"/>
        <w:jc w:val="both"/>
        <w:textAlignment w:val="auto"/>
        <w:outlineLvl w:val="1"/>
        <w:rPr>
          <w:rFonts w:hint="eastAsia" w:ascii="楷体_GB2312" w:hAnsi="楷体_GB2312" w:eastAsia="楷体_GB2312" w:cs="楷体_GB2312"/>
          <w:bCs/>
          <w:color w:val="auto"/>
          <w:spacing w:val="6"/>
          <w:kern w:val="2"/>
          <w:sz w:val="30"/>
          <w:szCs w:val="30"/>
          <w:highlight w:val="none"/>
          <w:lang w:val="en-US" w:eastAsia="zh-CN" w:bidi="ar-SA"/>
        </w:rPr>
      </w:pPr>
      <w:bookmarkStart w:id="592" w:name="_Toc32529"/>
      <w:bookmarkStart w:id="593" w:name="_Toc10703"/>
      <w:bookmarkStart w:id="594" w:name="_Toc24983"/>
      <w:bookmarkStart w:id="595" w:name="_Toc27970"/>
      <w:bookmarkStart w:id="596" w:name="_Toc8732"/>
      <w:bookmarkStart w:id="597" w:name="_Toc25480"/>
      <w:bookmarkStart w:id="598" w:name="_Toc28606"/>
      <w:bookmarkStart w:id="599" w:name="_Toc16856"/>
      <w:bookmarkStart w:id="600" w:name="_Toc1084464008"/>
      <w:bookmarkStart w:id="601" w:name="_Toc27236"/>
      <w:bookmarkStart w:id="602" w:name="_Toc29934"/>
      <w:bookmarkStart w:id="603" w:name="_Toc1190915519"/>
      <w:bookmarkStart w:id="604" w:name="_Toc21"/>
      <w:bookmarkStart w:id="605" w:name="_Toc29899"/>
      <w:bookmarkStart w:id="606" w:name="_Toc18576"/>
      <w:bookmarkStart w:id="607" w:name="_Toc14013"/>
      <w:bookmarkStart w:id="608" w:name="_Toc11885"/>
      <w:bookmarkStart w:id="609" w:name="_Toc15813"/>
      <w:bookmarkStart w:id="610" w:name="_Toc14639"/>
      <w:bookmarkStart w:id="611" w:name="_Toc5746"/>
      <w:bookmarkStart w:id="612" w:name="_Toc23312"/>
      <w:bookmarkStart w:id="613" w:name="_Toc23047"/>
      <w:bookmarkStart w:id="614" w:name="_Toc6206"/>
      <w:bookmarkStart w:id="615" w:name="_Toc12903"/>
      <w:bookmarkStart w:id="616" w:name="_Toc6244"/>
      <w:bookmarkStart w:id="617" w:name="_Toc7454"/>
      <w:bookmarkStart w:id="618" w:name="_Toc7703"/>
      <w:r>
        <w:rPr>
          <w:rFonts w:hint="eastAsia" w:ascii="楷体_GB2312" w:hAnsi="楷体_GB2312" w:eastAsia="楷体_GB2312" w:cs="楷体_GB2312"/>
          <w:bCs/>
          <w:color w:val="auto"/>
          <w:spacing w:val="6"/>
          <w:kern w:val="2"/>
          <w:sz w:val="30"/>
          <w:szCs w:val="30"/>
          <w:highlight w:val="none"/>
          <w:lang w:val="en-US" w:eastAsia="zh-CN" w:bidi="ar-SA"/>
        </w:rPr>
        <w:t>（十七）深化真实世界数据医保创新应用</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Fonts w:hint="eastAsia" w:ascii="楷体_GB2312" w:hAnsi="楷体_GB2312" w:eastAsia="楷体_GB2312" w:cs="楷体_GB2312"/>
          <w:bCs/>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落实国家真实世界医保综合价值评价技术指南，探索海南医保综合价值评估实施技术规范。在单一药品评价基础上，将评价领域拓展至药品对比评价、疾病谱评价等领域，立足海南地域特点开展热带疾病等相关研究。构建真实世界数据研究成果向医保决策转化通道，支持利用真实世界数据开展黎药、苗药等本土医药临床价值研究。搭建学术交流平台，推动建立真实世界研究学术交流机制，深化产学研用合作。探索建立数据共享机制，以医保数据为基础，整合卫生健康、医疗机构、药耗使用等多源数据，制定数据适用性评价与开放管理细则，保障数据共享安全有序。</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textAlignment w:val="auto"/>
        <w:outlineLvl w:val="1"/>
        <w:rPr>
          <w:rFonts w:hint="eastAsia" w:ascii="楷体_GB2312" w:hAnsi="楷体_GB2312" w:eastAsia="楷体_GB2312" w:cs="楷体_GB2312"/>
          <w:color w:val="auto"/>
          <w:spacing w:val="6"/>
          <w:sz w:val="30"/>
          <w:szCs w:val="30"/>
          <w:lang w:val="en-US" w:eastAsia="zh-CN"/>
        </w:rPr>
      </w:pPr>
      <w:bookmarkStart w:id="619" w:name="_Toc18260"/>
      <w:bookmarkStart w:id="620" w:name="_Toc21214"/>
      <w:bookmarkStart w:id="621" w:name="_Toc20974"/>
      <w:bookmarkStart w:id="622" w:name="_Toc20021"/>
      <w:bookmarkStart w:id="623" w:name="_Toc20439"/>
      <w:r>
        <w:rPr>
          <w:rFonts w:hint="eastAsia" w:ascii="楷体_GB2312" w:hAnsi="楷体_GB2312" w:eastAsia="楷体_GB2312" w:cs="楷体_GB2312"/>
          <w:color w:val="auto"/>
          <w:spacing w:val="6"/>
          <w:sz w:val="30"/>
          <w:szCs w:val="30"/>
          <w:lang w:val="en-US" w:eastAsia="zh-CN"/>
        </w:rPr>
        <w:t>（十八）支持医药产业高质量发展</w:t>
      </w:r>
      <w:bookmarkEnd w:id="619"/>
      <w:bookmarkEnd w:id="620"/>
      <w:bookmarkEnd w:id="621"/>
      <w:bookmarkEnd w:id="622"/>
      <w:bookmarkEnd w:id="623"/>
      <w:r>
        <w:rPr>
          <w:rFonts w:hint="eastAsia" w:ascii="楷体_GB2312" w:hAnsi="楷体_GB2312" w:eastAsia="楷体_GB2312" w:cs="楷体_GB2312"/>
          <w:color w:val="auto"/>
          <w:spacing w:val="6"/>
          <w:sz w:val="30"/>
          <w:szCs w:val="30"/>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发挥自贸港政策优势及医保集采规模优势，探索搭建跨境医药集采交易平台，助力国产优质药械走向国际市场。依托乐城先行区国际药械引进</w:t>
      </w:r>
      <w:r>
        <w:rPr>
          <w:rFonts w:hint="eastAsia" w:ascii="仿宋_GB2312" w:hAnsi="仿宋_GB2312" w:eastAsia="仿宋_GB2312" w:cs="仿宋_GB2312"/>
          <w:color w:val="auto"/>
          <w:spacing w:val="6"/>
          <w:sz w:val="30"/>
          <w:szCs w:val="30"/>
          <w:highlight w:val="none"/>
          <w:lang w:eastAsia="zh-CN"/>
        </w:rPr>
        <w:t>先行先试政策</w:t>
      </w:r>
      <w:r>
        <w:rPr>
          <w:rFonts w:hint="eastAsia" w:ascii="仿宋_GB2312" w:hAnsi="仿宋_GB2312" w:eastAsia="仿宋_GB2312" w:cs="仿宋_GB2312"/>
          <w:color w:val="auto"/>
          <w:spacing w:val="6"/>
          <w:sz w:val="30"/>
          <w:szCs w:val="30"/>
          <w:highlight w:val="none"/>
          <w:lang w:val="en-US" w:eastAsia="zh-CN"/>
        </w:rPr>
        <w:t>优势，完善真实世界数据支持创新药械医保准入的技术标准和操作规范，将乐城特许药品使用形成的真实世界数据作为国家医保药品目录调整的重要参考，推动已在乐城先行区临床使用中验证安全有效的创新药械逐步完成医保准入评估，让国内特需患者更早用上国际创新医药产品。以国家医保综合价值评价试点为牵引，联动乐城先行区，构建具有海南特色的真实世界研究医保应用体系。围绕创新药品耗材市场准入、支付标准制定、医保定价等开展评价，将乐城先行区特许进口药械等纳入评价范围。支持乐城在商业医疗保险创新品种上率先突破，开发适配特许药械、高端医疗服务的专属保险产品，丰富多层次医疗保障供给。</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eastAsia="zh-CN"/>
        </w:rPr>
      </w:pPr>
      <w:r>
        <w:rPr>
          <w:rFonts w:hint="eastAsia" w:ascii="仿宋_GB2312" w:hAnsi="仿宋_GB2312" w:eastAsia="仿宋_GB2312" w:cs="仿宋_GB2312"/>
          <w:color w:val="auto"/>
          <w:spacing w:val="6"/>
          <w:sz w:val="30"/>
          <w:szCs w:val="30"/>
          <w:highlight w:val="none"/>
          <w:lang w:eastAsia="zh-CN"/>
        </w:rPr>
        <w:t>在支付方式改革、医疗服务价格管理、医保目录管理、真实世界数据研究、医保基金结算等方面依法依规支持海南医药产业的创新发展，服务自贸港建设。</w:t>
      </w:r>
    </w:p>
    <w:p>
      <w:pPr>
        <w:pStyle w:val="5"/>
        <w:rPr>
          <w:rFonts w:hint="default"/>
          <w:color w:val="auto"/>
          <w:lang w:eastAsia="zh-CN"/>
        </w:rPr>
      </w:pP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000" w:type="pct"/>
            <w:shd w:val="clear" w:color="auto" w:fill="BEBEBE"/>
            <w:noWrap w:val="0"/>
            <w:vAlign w:val="center"/>
          </w:tcPr>
          <w:p>
            <w:pPr>
              <w:keepNext w:val="0"/>
              <w:keepLines w:val="0"/>
              <w:pageBreakBefore w:val="0"/>
              <w:widowControl w:val="0"/>
              <w:kinsoku/>
              <w:wordWrap/>
              <w:overflowPunct w:val="0"/>
              <w:topLinePunct w:val="0"/>
              <w:autoSpaceDE/>
              <w:autoSpaceDN/>
              <w:bidi w:val="0"/>
              <w:adjustRightInd w:val="0"/>
              <w:snapToGrid w:val="0"/>
              <w:spacing w:line="400" w:lineRule="exact"/>
              <w:jc w:val="center"/>
              <w:textAlignment w:val="auto"/>
              <w:rPr>
                <w:rFonts w:hint="default" w:ascii="Times New Roman" w:hAnsi="Times New Roman" w:eastAsia="黑体" w:cs="Times New Roman"/>
                <w:b w:val="0"/>
                <w:bCs w:val="0"/>
                <w:color w:val="auto"/>
                <w:spacing w:val="0"/>
                <w:sz w:val="28"/>
                <w:szCs w:val="28"/>
                <w:highlight w:val="none"/>
                <w:lang w:val="en-US" w:eastAsia="zh-CN"/>
              </w:rPr>
            </w:pPr>
            <w:r>
              <w:rPr>
                <w:rFonts w:hint="default" w:ascii="Times New Roman" w:hAnsi="Times New Roman" w:eastAsia="黑体" w:cs="Times New Roman"/>
                <w:b w:val="0"/>
                <w:bCs w:val="0"/>
                <w:color w:val="auto"/>
                <w:spacing w:val="0"/>
                <w:sz w:val="28"/>
                <w:szCs w:val="28"/>
                <w:highlight w:val="none"/>
                <w:lang w:val="en-US" w:eastAsia="zh-CN"/>
              </w:rPr>
              <w:t>重点任务2 深化医药服务改革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noWrap w:val="0"/>
            <w:vAlign w:val="top"/>
          </w:tcPr>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7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1.分级诊疗支付引导</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7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完善与分级诊疗相适配的待遇报销政策，优化调整不同等级医疗机构报销差距；</w:t>
            </w:r>
            <w:r>
              <w:rPr>
                <w:rFonts w:hint="eastAsia" w:ascii="Times New Roman" w:hAnsi="Times New Roman" w:eastAsia="宋体" w:cs="Times New Roman"/>
                <w:color w:val="auto"/>
                <w:spacing w:val="0"/>
                <w:sz w:val="24"/>
                <w:szCs w:val="24"/>
                <w:highlight w:val="none"/>
                <w:lang w:val="en-US" w:eastAsia="zh-CN"/>
              </w:rPr>
              <w:t>提升</w:t>
            </w:r>
            <w:r>
              <w:rPr>
                <w:rFonts w:hint="default" w:ascii="Times New Roman" w:hAnsi="Times New Roman" w:eastAsia="宋体" w:cs="Times New Roman"/>
                <w:color w:val="auto"/>
                <w:spacing w:val="0"/>
                <w:sz w:val="24"/>
                <w:szCs w:val="24"/>
                <w:highlight w:val="none"/>
                <w:lang w:val="en-US" w:eastAsia="zh-CN"/>
              </w:rPr>
              <w:t>紧密型医联体总额付费覆盖力度，构建医保绩效评价机制。</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7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2.药品供应保障能力提升</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7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升级省级集采平台，实现药品耗材采购全流程线上管理和智能化价格风险预警；推动</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医保云药房</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建设，实现</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两定机构</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医保药品配备情况查询和基层医疗机构药品配送全覆盖。</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7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3.DRG/DIP付费融合</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7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积极探索DRG与DIP付费融合路径，完善分组方案动态调整机制，健全结算清单交叉评审和智能检测体系。</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7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4.支持医药产业发展</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7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支持中医传承创新发展，积极开展黎族苗族医药技术、热带病防治服务等特色医疗服务项目评估，并按程序和相关规定纳入我省医保支付范围。</w:t>
            </w:r>
          </w:p>
        </w:tc>
      </w:tr>
    </w:tbl>
    <w:p>
      <w:pPr>
        <w:keepNext w:val="0"/>
        <w:keepLines w:val="0"/>
        <w:pageBreakBefore w:val="0"/>
        <w:widowControl w:val="0"/>
        <w:kinsoku/>
        <w:wordWrap/>
        <w:overflowPunct w:val="0"/>
        <w:topLinePunct w:val="0"/>
        <w:autoSpaceDE/>
        <w:autoSpaceDN/>
        <w:bidi w:val="0"/>
        <w:adjustRightInd w:val="0"/>
        <w:snapToGrid w:val="0"/>
        <w:spacing w:before="0" w:beforeLines="0" w:line="596" w:lineRule="exact"/>
        <w:ind w:firstLine="624" w:firstLineChars="200"/>
        <w:jc w:val="both"/>
        <w:textAlignment w:val="auto"/>
        <w:outlineLvl w:val="0"/>
        <w:rPr>
          <w:rFonts w:hint="eastAsia" w:ascii="黑体" w:hAnsi="黑体" w:eastAsia="黑体" w:cs="黑体"/>
          <w:b w:val="0"/>
          <w:bCs w:val="0"/>
          <w:color w:val="auto"/>
          <w:spacing w:val="6"/>
          <w:sz w:val="30"/>
          <w:szCs w:val="30"/>
          <w:highlight w:val="none"/>
          <w:lang w:val="en-US" w:eastAsia="zh-CN"/>
        </w:rPr>
      </w:pPr>
      <w:bookmarkStart w:id="624" w:name="_Toc12694"/>
      <w:bookmarkStart w:id="625" w:name="_Toc591"/>
      <w:bookmarkStart w:id="626" w:name="_Toc24467"/>
      <w:bookmarkStart w:id="627" w:name="_Toc12437"/>
      <w:bookmarkStart w:id="628" w:name="_Toc25113"/>
      <w:bookmarkStart w:id="629" w:name="_Toc21953"/>
      <w:bookmarkStart w:id="630" w:name="_Toc16142"/>
      <w:bookmarkStart w:id="631" w:name="_Toc16588"/>
      <w:bookmarkStart w:id="632" w:name="_Toc27467"/>
      <w:bookmarkStart w:id="633" w:name="_Toc19949"/>
      <w:bookmarkStart w:id="634" w:name="_Toc1456"/>
      <w:bookmarkStart w:id="635" w:name="_Toc6554"/>
      <w:bookmarkStart w:id="636" w:name="_Toc10501"/>
      <w:bookmarkStart w:id="637" w:name="_Toc791"/>
      <w:bookmarkStart w:id="638" w:name="_Toc5718"/>
      <w:bookmarkStart w:id="639" w:name="_Toc28738"/>
      <w:bookmarkStart w:id="640" w:name="_Toc19548"/>
      <w:bookmarkStart w:id="641" w:name="_Toc10543"/>
      <w:bookmarkStart w:id="642" w:name="_Toc9213"/>
      <w:bookmarkStart w:id="643" w:name="_Toc14203"/>
      <w:bookmarkStart w:id="644" w:name="_Toc13336"/>
      <w:bookmarkStart w:id="645" w:name="_Toc25883"/>
      <w:bookmarkStart w:id="646" w:name="_Toc10640"/>
      <w:bookmarkStart w:id="647" w:name="_Toc22864"/>
      <w:bookmarkStart w:id="648" w:name="_Toc1309562210"/>
      <w:bookmarkStart w:id="649" w:name="_Toc25157845"/>
      <w:bookmarkStart w:id="650" w:name="_Toc11936"/>
      <w:r>
        <w:rPr>
          <w:rFonts w:hint="eastAsia" w:ascii="黑体" w:hAnsi="黑体" w:eastAsia="黑体" w:cs="黑体"/>
          <w:b w:val="0"/>
          <w:bCs w:val="0"/>
          <w:color w:val="auto"/>
          <w:spacing w:val="6"/>
          <w:sz w:val="30"/>
          <w:szCs w:val="30"/>
          <w:highlight w:val="none"/>
          <w:lang w:val="en-US" w:eastAsia="zh-CN"/>
        </w:rPr>
        <w:t>五、筑牢基金监管体系</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keepNext w:val="0"/>
        <w:keepLines w:val="0"/>
        <w:pageBreakBefore w:val="0"/>
        <w:widowControl w:val="0"/>
        <w:kinsoku/>
        <w:wordWrap/>
        <w:overflowPunct w:val="0"/>
        <w:topLinePunct w:val="0"/>
        <w:autoSpaceDE/>
        <w:autoSpaceDN/>
        <w:bidi w:val="0"/>
        <w:adjustRightInd w:val="0"/>
        <w:snapToGrid w:val="0"/>
        <w:spacing w:beforeLines="0" w:line="596"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rPr>
        <w:t>健全全方位、多层次、立体化的医保基金监管体系，加强医保基金全链条、智能化、穿透式监管，严厉打击违法违规行为，守好人民群众的</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看病钱</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救命钱</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w:t>
      </w:r>
    </w:p>
    <w:p>
      <w:pPr>
        <w:keepNext w:val="0"/>
        <w:keepLines w:val="0"/>
        <w:pageBreakBefore w:val="0"/>
        <w:widowControl w:val="0"/>
        <w:kinsoku/>
        <w:wordWrap/>
        <w:overflowPunct w:val="0"/>
        <w:topLinePunct w:val="0"/>
        <w:autoSpaceDE/>
        <w:autoSpaceDN/>
        <w:bidi w:val="0"/>
        <w:adjustRightInd w:val="0"/>
        <w:snapToGrid w:val="0"/>
        <w:spacing w:beforeLines="0" w:line="596" w:lineRule="exact"/>
        <w:ind w:firstLine="624" w:firstLineChars="200"/>
        <w:jc w:val="both"/>
        <w:textAlignment w:val="auto"/>
        <w:outlineLvl w:val="1"/>
        <w:rPr>
          <w:rFonts w:hint="eastAsia" w:ascii="楷体_GB2312" w:hAnsi="楷体_GB2312" w:eastAsia="楷体_GB2312" w:cs="楷体_GB2312"/>
          <w:b w:val="0"/>
          <w:bCs w:val="0"/>
          <w:color w:val="auto"/>
          <w:spacing w:val="6"/>
          <w:sz w:val="30"/>
          <w:szCs w:val="30"/>
          <w:highlight w:val="none"/>
          <w:lang w:eastAsia="zh-CN"/>
        </w:rPr>
      </w:pPr>
      <w:bookmarkStart w:id="651" w:name="_Toc17423"/>
      <w:bookmarkStart w:id="652" w:name="_Toc8845"/>
      <w:bookmarkStart w:id="653" w:name="_Toc16141"/>
      <w:bookmarkStart w:id="654" w:name="_Toc19713"/>
      <w:bookmarkStart w:id="655" w:name="_Toc32595"/>
      <w:bookmarkStart w:id="656" w:name="_Toc18525"/>
      <w:bookmarkStart w:id="657" w:name="_Toc13332"/>
      <w:bookmarkStart w:id="658" w:name="_Toc28519"/>
      <w:bookmarkStart w:id="659" w:name="_Toc3568"/>
      <w:bookmarkStart w:id="660" w:name="_Toc5796"/>
      <w:bookmarkStart w:id="661" w:name="_Toc21531"/>
      <w:bookmarkStart w:id="662" w:name="_Toc446"/>
      <w:bookmarkStart w:id="663" w:name="_Toc28368"/>
      <w:bookmarkStart w:id="664" w:name="_Toc19426"/>
      <w:bookmarkStart w:id="665" w:name="_Toc12304"/>
      <w:bookmarkStart w:id="666" w:name="_Toc29546"/>
      <w:bookmarkStart w:id="667" w:name="_Toc32312"/>
      <w:bookmarkStart w:id="668" w:name="_Toc26319"/>
      <w:bookmarkStart w:id="669" w:name="_Toc32110"/>
      <w:bookmarkStart w:id="670" w:name="_Toc6562"/>
      <w:bookmarkStart w:id="671" w:name="_Toc13096"/>
      <w:r>
        <w:rPr>
          <w:rFonts w:hint="eastAsia" w:ascii="楷体_GB2312" w:hAnsi="楷体_GB2312" w:eastAsia="楷体_GB2312" w:cs="楷体_GB2312"/>
          <w:b w:val="0"/>
          <w:bCs w:val="0"/>
          <w:color w:val="auto"/>
          <w:spacing w:val="6"/>
          <w:sz w:val="30"/>
          <w:szCs w:val="30"/>
          <w:highlight w:val="none"/>
          <w:lang w:eastAsia="zh-CN"/>
        </w:rPr>
        <w:t>（</w:t>
      </w:r>
      <w:r>
        <w:rPr>
          <w:rFonts w:hint="eastAsia" w:ascii="楷体_GB2312" w:hAnsi="楷体_GB2312" w:eastAsia="楷体_GB2312" w:cs="楷体_GB2312"/>
          <w:b w:val="0"/>
          <w:bCs w:val="0"/>
          <w:color w:val="auto"/>
          <w:spacing w:val="6"/>
          <w:sz w:val="30"/>
          <w:szCs w:val="30"/>
          <w:highlight w:val="none"/>
          <w:lang w:val="en-US" w:eastAsia="zh-CN"/>
        </w:rPr>
        <w:t>十九</w:t>
      </w:r>
      <w:r>
        <w:rPr>
          <w:rFonts w:hint="eastAsia" w:ascii="楷体_GB2312" w:hAnsi="楷体_GB2312" w:eastAsia="楷体_GB2312" w:cs="楷体_GB2312"/>
          <w:b w:val="0"/>
          <w:bCs w:val="0"/>
          <w:color w:val="auto"/>
          <w:spacing w:val="6"/>
          <w:sz w:val="30"/>
          <w:szCs w:val="30"/>
          <w:highlight w:val="none"/>
          <w:lang w:eastAsia="zh-CN"/>
        </w:rPr>
        <w:t>）强化基金监管力度</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Fonts w:hint="eastAsia" w:ascii="楷体_GB2312" w:hAnsi="楷体_GB2312" w:eastAsia="楷体_GB2312" w:cs="楷体_GB2312"/>
          <w:b w:val="0"/>
          <w:bCs w:val="0"/>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96"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eastAsia="zh-CN"/>
        </w:rPr>
      </w:pPr>
      <w:r>
        <w:rPr>
          <w:rFonts w:hint="eastAsia" w:ascii="仿宋_GB2312" w:hAnsi="仿宋_GB2312" w:eastAsia="仿宋_GB2312" w:cs="仿宋_GB2312"/>
          <w:color w:val="auto"/>
          <w:spacing w:val="6"/>
          <w:sz w:val="30"/>
          <w:szCs w:val="30"/>
          <w:highlight w:val="none"/>
          <w:lang w:eastAsia="zh-CN"/>
        </w:rPr>
        <w:t>统筹全省监管力量，实现飞行检查、日常检查、经办核查覆盖全省各地区、各医保基金使用主体。省级医保部门飞行检查五年内实现二级及以上定点医疗机构全覆盖、各级经办机构全覆盖。市县医保部门现场检查五年内实现辖区内定点医药机构全覆盖。</w:t>
      </w:r>
      <w:r>
        <w:rPr>
          <w:rFonts w:hint="eastAsia" w:ascii="仿宋_GB2312" w:hAnsi="仿宋_GB2312" w:eastAsia="仿宋_GB2312" w:cs="仿宋_GB2312"/>
          <w:color w:val="auto"/>
          <w:spacing w:val="6"/>
          <w:sz w:val="30"/>
          <w:szCs w:val="30"/>
          <w:highlight w:val="none"/>
          <w:lang w:val="en-US" w:eastAsia="zh-CN"/>
        </w:rPr>
        <w:t>加强与税务、财政</w:t>
      </w:r>
      <w:r>
        <w:rPr>
          <w:rFonts w:hint="eastAsia" w:ascii="仿宋_GB2312" w:hAnsi="仿宋_GB2312" w:eastAsia="仿宋_GB2312" w:cs="仿宋_GB2312"/>
          <w:color w:val="auto"/>
          <w:spacing w:val="6"/>
          <w:sz w:val="30"/>
          <w:szCs w:val="30"/>
          <w:highlight w:val="none"/>
          <w:lang w:eastAsia="zh-CN"/>
        </w:rPr>
        <w:t>、卫生健康、市场监管、药品监管、公安、民政等部门协同联动，凝聚监管合力。综合运用协议</w:t>
      </w:r>
      <w:r>
        <w:rPr>
          <w:rFonts w:hint="eastAsia" w:ascii="仿宋_GB2312" w:hAnsi="仿宋_GB2312" w:eastAsia="仿宋_GB2312" w:cs="仿宋_GB2312"/>
          <w:color w:val="auto"/>
          <w:spacing w:val="6"/>
          <w:sz w:val="30"/>
          <w:szCs w:val="30"/>
          <w:highlight w:val="none"/>
          <w:lang w:val="en-US" w:eastAsia="zh-CN"/>
        </w:rPr>
        <w:t>管理</w:t>
      </w:r>
      <w:r>
        <w:rPr>
          <w:rFonts w:hint="eastAsia" w:ascii="仿宋_GB2312" w:hAnsi="仿宋_GB2312" w:eastAsia="仿宋_GB2312" w:cs="仿宋_GB2312"/>
          <w:color w:val="auto"/>
          <w:spacing w:val="6"/>
          <w:sz w:val="30"/>
          <w:szCs w:val="30"/>
          <w:highlight w:val="none"/>
          <w:lang w:eastAsia="zh-CN"/>
        </w:rPr>
        <w:t>、行政</w:t>
      </w:r>
      <w:r>
        <w:rPr>
          <w:rFonts w:hint="eastAsia" w:ascii="仿宋_GB2312" w:hAnsi="仿宋_GB2312" w:eastAsia="仿宋_GB2312" w:cs="仿宋_GB2312"/>
          <w:b w:val="0"/>
          <w:bCs w:val="0"/>
          <w:color w:val="auto"/>
          <w:spacing w:val="6"/>
          <w:sz w:val="30"/>
          <w:szCs w:val="30"/>
          <w:highlight w:val="none"/>
          <w:lang w:val="en-US" w:eastAsia="zh-CN"/>
        </w:rPr>
        <w:t>管理</w:t>
      </w:r>
      <w:r>
        <w:rPr>
          <w:rFonts w:hint="eastAsia" w:ascii="仿宋_GB2312" w:hAnsi="仿宋_GB2312" w:eastAsia="仿宋_GB2312" w:cs="仿宋_GB2312"/>
          <w:b/>
          <w:bCs/>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lang w:eastAsia="zh-CN"/>
        </w:rPr>
        <w:t>支付资格等方式，强化处置整改。</w:t>
      </w:r>
    </w:p>
    <w:p>
      <w:pPr>
        <w:pStyle w:val="5"/>
        <w:keepNext w:val="0"/>
        <w:keepLines w:val="0"/>
        <w:pageBreakBefore w:val="0"/>
        <w:widowControl w:val="0"/>
        <w:kinsoku/>
        <w:wordWrap/>
        <w:overflowPunct w:val="0"/>
        <w:topLinePunct w:val="0"/>
        <w:autoSpaceDE/>
        <w:autoSpaceDN/>
        <w:bidi w:val="0"/>
        <w:adjustRightInd w:val="0"/>
        <w:snapToGrid w:val="0"/>
        <w:spacing w:beforeLines="0" w:line="570" w:lineRule="exact"/>
        <w:ind w:firstLine="624" w:firstLineChars="200"/>
        <w:jc w:val="both"/>
        <w:textAlignment w:val="auto"/>
        <w:outlineLvl w:val="1"/>
        <w:rPr>
          <w:rFonts w:hint="eastAsia" w:ascii="楷体_GB2312" w:hAnsi="楷体_GB2312" w:eastAsia="楷体_GB2312" w:cs="楷体_GB2312"/>
          <w:b w:val="0"/>
          <w:bCs w:val="0"/>
          <w:color w:val="auto"/>
          <w:spacing w:val="6"/>
          <w:sz w:val="30"/>
          <w:szCs w:val="30"/>
          <w:highlight w:val="none"/>
          <w:lang w:eastAsia="zh-CN"/>
        </w:rPr>
      </w:pPr>
      <w:bookmarkStart w:id="672" w:name="_Toc7717"/>
      <w:bookmarkStart w:id="673" w:name="_Toc12140"/>
      <w:bookmarkStart w:id="674" w:name="_Toc10771"/>
      <w:bookmarkStart w:id="675" w:name="_Toc4908"/>
      <w:bookmarkStart w:id="676" w:name="_Toc32066"/>
      <w:bookmarkStart w:id="677" w:name="_Toc15054"/>
      <w:bookmarkStart w:id="678" w:name="_Toc28331"/>
      <w:bookmarkStart w:id="679" w:name="_Toc20377"/>
      <w:bookmarkStart w:id="680" w:name="_Toc25790"/>
      <w:bookmarkStart w:id="681" w:name="_Toc15750"/>
      <w:bookmarkStart w:id="682" w:name="_Toc10484"/>
      <w:bookmarkStart w:id="683" w:name="_Toc12377"/>
      <w:bookmarkStart w:id="684" w:name="_Toc5531"/>
      <w:bookmarkStart w:id="685" w:name="_Toc1846"/>
      <w:bookmarkStart w:id="686" w:name="_Toc16421"/>
      <w:bookmarkStart w:id="687" w:name="_Toc13241"/>
      <w:bookmarkStart w:id="688" w:name="_Toc18417"/>
      <w:bookmarkStart w:id="689" w:name="_Toc24503"/>
      <w:bookmarkStart w:id="690" w:name="_Toc13988"/>
      <w:bookmarkStart w:id="691" w:name="_Toc1087"/>
      <w:bookmarkStart w:id="692" w:name="_Toc17595"/>
      <w:r>
        <w:rPr>
          <w:rFonts w:hint="eastAsia" w:ascii="楷体_GB2312" w:hAnsi="楷体_GB2312" w:eastAsia="楷体_GB2312" w:cs="楷体_GB2312"/>
          <w:b w:val="0"/>
          <w:bCs w:val="0"/>
          <w:color w:val="auto"/>
          <w:spacing w:val="6"/>
          <w:sz w:val="30"/>
          <w:szCs w:val="30"/>
          <w:highlight w:val="none"/>
          <w:lang w:eastAsia="zh-CN"/>
        </w:rPr>
        <w:t>（</w:t>
      </w:r>
      <w:r>
        <w:rPr>
          <w:rFonts w:hint="eastAsia" w:ascii="楷体_GB2312" w:hAnsi="楷体_GB2312" w:eastAsia="楷体_GB2312" w:cs="楷体_GB2312"/>
          <w:b w:val="0"/>
          <w:bCs w:val="0"/>
          <w:color w:val="auto"/>
          <w:spacing w:val="6"/>
          <w:sz w:val="30"/>
          <w:szCs w:val="30"/>
          <w:highlight w:val="none"/>
          <w:lang w:val="en-US" w:eastAsia="zh-CN"/>
        </w:rPr>
        <w:t>二十</w:t>
      </w:r>
      <w:r>
        <w:rPr>
          <w:rFonts w:hint="eastAsia" w:ascii="楷体_GB2312" w:hAnsi="楷体_GB2312" w:eastAsia="楷体_GB2312" w:cs="楷体_GB2312"/>
          <w:b w:val="0"/>
          <w:bCs w:val="0"/>
          <w:color w:val="auto"/>
          <w:spacing w:val="6"/>
          <w:sz w:val="30"/>
          <w:szCs w:val="30"/>
          <w:highlight w:val="none"/>
          <w:lang w:eastAsia="zh-CN"/>
        </w:rPr>
        <w:t>）提升智能监管能力</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Fonts w:hint="eastAsia" w:ascii="楷体_GB2312" w:hAnsi="楷体_GB2312" w:eastAsia="楷体_GB2312" w:cs="楷体_GB2312"/>
          <w:b w:val="0"/>
          <w:bCs w:val="0"/>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4"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eastAsia="zh-CN"/>
        </w:rPr>
      </w:pPr>
      <w:r>
        <w:rPr>
          <w:rFonts w:hint="eastAsia" w:ascii="仿宋_GB2312" w:hAnsi="仿宋_GB2312" w:eastAsia="仿宋_GB2312" w:cs="仿宋_GB2312"/>
          <w:color w:val="auto"/>
          <w:spacing w:val="6"/>
          <w:sz w:val="30"/>
          <w:szCs w:val="30"/>
          <w:highlight w:val="none"/>
          <w:lang w:val="en-US" w:eastAsia="zh-CN"/>
        </w:rPr>
        <w:t>坚持强化创新技术赋能，完善事前事中事后全流程智能监管体系，形成梯次拦截违法违规行为的协同效应，五年内实现定点医药机构事前提醒全覆盖。拓展深化药品追溯码在医保领域监管应用，精准打击涉药违规行为。持续加大各类大数据监管模型的研发应用力度，进一步扩大场景监控应用覆盖面。强化人工智能等前沿技术和新场景在医保基金监管中的应用，实现影像识别、病历判读、智能规则生成、疑点数据筛查等智能监管。</w:t>
      </w:r>
    </w:p>
    <w:p>
      <w:pPr>
        <w:pStyle w:val="5"/>
        <w:keepNext w:val="0"/>
        <w:keepLines w:val="0"/>
        <w:pageBreakBefore w:val="0"/>
        <w:widowControl w:val="0"/>
        <w:kinsoku/>
        <w:wordWrap/>
        <w:overflowPunct w:val="0"/>
        <w:topLinePunct w:val="0"/>
        <w:autoSpaceDE/>
        <w:autoSpaceDN/>
        <w:bidi w:val="0"/>
        <w:adjustRightInd w:val="0"/>
        <w:snapToGrid w:val="0"/>
        <w:spacing w:beforeLines="0" w:line="574" w:lineRule="exact"/>
        <w:ind w:firstLine="624" w:firstLineChars="200"/>
        <w:jc w:val="both"/>
        <w:textAlignment w:val="auto"/>
        <w:outlineLvl w:val="1"/>
        <w:rPr>
          <w:rFonts w:hint="eastAsia" w:ascii="楷体_GB2312" w:hAnsi="楷体_GB2312" w:eastAsia="楷体_GB2312" w:cs="楷体_GB2312"/>
          <w:b w:val="0"/>
          <w:bCs w:val="0"/>
          <w:color w:val="auto"/>
          <w:spacing w:val="6"/>
          <w:sz w:val="30"/>
          <w:szCs w:val="30"/>
          <w:highlight w:val="none"/>
          <w:lang w:val="en-US" w:eastAsia="zh-CN"/>
        </w:rPr>
      </w:pPr>
      <w:bookmarkStart w:id="693" w:name="_Toc29701"/>
      <w:bookmarkStart w:id="694" w:name="_Toc23055"/>
      <w:bookmarkStart w:id="695" w:name="_Toc5921"/>
      <w:bookmarkStart w:id="696" w:name="_Toc15904"/>
      <w:bookmarkStart w:id="697" w:name="_Toc17063"/>
      <w:bookmarkStart w:id="698" w:name="_Toc2178"/>
      <w:bookmarkStart w:id="699" w:name="_Toc12378"/>
      <w:bookmarkStart w:id="700" w:name="_Toc3048"/>
      <w:bookmarkStart w:id="701" w:name="_Toc22060"/>
      <w:bookmarkStart w:id="702" w:name="_Toc31591"/>
      <w:bookmarkStart w:id="703" w:name="_Toc12497"/>
      <w:bookmarkStart w:id="704" w:name="_Toc17719"/>
      <w:bookmarkStart w:id="705" w:name="_Toc9033"/>
      <w:bookmarkStart w:id="706" w:name="_Toc9407"/>
      <w:bookmarkStart w:id="707" w:name="_Toc21010"/>
      <w:bookmarkStart w:id="708" w:name="_Toc879"/>
      <w:bookmarkStart w:id="709" w:name="_Toc11757"/>
      <w:bookmarkStart w:id="710" w:name="_Toc17054"/>
      <w:bookmarkStart w:id="711" w:name="_Toc25478"/>
      <w:bookmarkStart w:id="712" w:name="_Toc4122"/>
      <w:bookmarkStart w:id="713" w:name="_Toc10953"/>
      <w:r>
        <w:rPr>
          <w:rFonts w:hint="eastAsia" w:ascii="楷体_GB2312" w:hAnsi="楷体_GB2312" w:eastAsia="楷体_GB2312" w:cs="楷体_GB2312"/>
          <w:b w:val="0"/>
          <w:bCs w:val="0"/>
          <w:color w:val="auto"/>
          <w:spacing w:val="6"/>
          <w:sz w:val="30"/>
          <w:szCs w:val="30"/>
          <w:highlight w:val="none"/>
          <w:lang w:val="en-US" w:eastAsia="zh-CN"/>
        </w:rPr>
        <w:t>（二十一）健全监管长效机制</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Fonts w:hint="eastAsia" w:ascii="楷体_GB2312" w:hAnsi="楷体_GB2312" w:eastAsia="楷体_GB2312" w:cs="楷体_GB2312"/>
          <w:b w:val="0"/>
          <w:bCs w:val="0"/>
          <w:color w:val="auto"/>
          <w:spacing w:val="6"/>
          <w:sz w:val="30"/>
          <w:szCs w:val="30"/>
          <w:highlight w:val="none"/>
          <w:lang w:val="en-US"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4"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eastAsia="zh-CN"/>
        </w:rPr>
      </w:pPr>
      <w:r>
        <w:rPr>
          <w:rFonts w:hint="eastAsia" w:ascii="仿宋_GB2312" w:hAnsi="仿宋_GB2312" w:eastAsia="仿宋_GB2312" w:cs="仿宋_GB2312"/>
          <w:color w:val="auto"/>
          <w:spacing w:val="6"/>
          <w:sz w:val="30"/>
          <w:szCs w:val="30"/>
          <w:highlight w:val="none"/>
        </w:rPr>
        <w:t>严格落实《医疗保障基金使用监督管理条例》及配套实施细则</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完善定点零售药店职工基本医疗保险个人账户使用监督管理措施。</w:t>
      </w:r>
      <w:r>
        <w:rPr>
          <w:rFonts w:hint="eastAsia" w:ascii="仿宋_GB2312" w:hAnsi="仿宋_GB2312" w:eastAsia="仿宋_GB2312" w:cs="仿宋_GB2312"/>
          <w:color w:val="auto"/>
          <w:spacing w:val="6"/>
          <w:sz w:val="30"/>
          <w:szCs w:val="30"/>
          <w:highlight w:val="none"/>
          <w:lang w:eastAsia="zh-CN"/>
        </w:rPr>
        <w:t>落实</w:t>
      </w:r>
      <w:r>
        <w:rPr>
          <w:rFonts w:hint="eastAsia" w:ascii="仿宋_GB2312" w:hAnsi="仿宋_GB2312" w:eastAsia="仿宋_GB2312" w:cs="仿宋_GB2312"/>
          <w:color w:val="auto"/>
          <w:spacing w:val="6"/>
          <w:sz w:val="30"/>
          <w:szCs w:val="30"/>
          <w:highlight w:val="none"/>
        </w:rPr>
        <w:t>《海南自由贸易港医疗医保医药失信惩戒若干规定》</w:t>
      </w:r>
      <w:r>
        <w:rPr>
          <w:rFonts w:hint="eastAsia" w:ascii="仿宋_GB2312" w:hAnsi="仿宋_GB2312" w:eastAsia="仿宋_GB2312" w:cs="仿宋_GB2312"/>
          <w:color w:val="auto"/>
          <w:spacing w:val="6"/>
          <w:sz w:val="30"/>
          <w:szCs w:val="30"/>
          <w:highlight w:val="none"/>
          <w:lang w:eastAsia="zh-CN"/>
        </w:rPr>
        <w:t>《海南省医保基金监管领域信用管理办法》等制度，实施</w:t>
      </w:r>
      <w:r>
        <w:rPr>
          <w:rFonts w:hint="eastAsia" w:ascii="仿宋_GB2312" w:hAnsi="仿宋_GB2312" w:eastAsia="仿宋_GB2312" w:cs="仿宋_GB2312"/>
          <w:color w:val="auto"/>
          <w:spacing w:val="6"/>
          <w:sz w:val="30"/>
          <w:szCs w:val="30"/>
          <w:highlight w:val="none"/>
          <w:lang w:val="en-US" w:eastAsia="zh-CN"/>
        </w:rPr>
        <w:t>定点医药机构信用评价。推进定点医疗机构开展医疗保障基金使用内部控制管理制度建设。</w:t>
      </w:r>
      <w:r>
        <w:rPr>
          <w:rFonts w:hint="eastAsia" w:ascii="仿宋_GB2312" w:hAnsi="仿宋_GB2312" w:eastAsia="仿宋_GB2312" w:cs="仿宋_GB2312"/>
          <w:color w:val="auto"/>
          <w:spacing w:val="6"/>
          <w:sz w:val="30"/>
          <w:szCs w:val="30"/>
          <w:highlight w:val="none"/>
          <w:lang w:eastAsia="zh-CN"/>
        </w:rPr>
        <w:t>针对定点医药机构推进“一院一档”“一店一档”建设，</w:t>
      </w:r>
      <w:r>
        <w:rPr>
          <w:rFonts w:hint="eastAsia" w:ascii="仿宋_GB2312" w:hAnsi="仿宋_GB2312" w:eastAsia="仿宋_GB2312" w:cs="仿宋_GB2312"/>
          <w:color w:val="auto"/>
          <w:spacing w:val="6"/>
          <w:sz w:val="30"/>
          <w:szCs w:val="30"/>
          <w:highlight w:val="none"/>
          <w:lang w:val="en-US" w:eastAsia="zh-CN"/>
        </w:rPr>
        <w:t>实现</w:t>
      </w:r>
      <w:r>
        <w:rPr>
          <w:rFonts w:hint="eastAsia" w:ascii="仿宋_GB2312" w:hAnsi="仿宋_GB2312" w:eastAsia="仿宋_GB2312" w:cs="仿宋_GB2312"/>
          <w:color w:val="auto"/>
          <w:spacing w:val="6"/>
          <w:sz w:val="30"/>
          <w:szCs w:val="30"/>
          <w:highlight w:val="none"/>
          <w:lang w:eastAsia="zh-CN"/>
        </w:rPr>
        <w:t>分级分类监管。定期梳理高频违规问题，有效引导定点医药机构开展自查自纠。</w:t>
      </w:r>
      <w:r>
        <w:rPr>
          <w:rFonts w:hint="eastAsia" w:ascii="仿宋_GB2312" w:hAnsi="仿宋_GB2312" w:eastAsia="仿宋_GB2312" w:cs="仿宋_GB2312"/>
          <w:color w:val="auto"/>
          <w:spacing w:val="6"/>
          <w:sz w:val="30"/>
          <w:szCs w:val="30"/>
          <w:highlight w:val="none"/>
        </w:rPr>
        <w:t>落实医保支付资格管理制度，鼓励定点医药机构将人员记分与激励约束挂钩。</w:t>
      </w:r>
      <w:r>
        <w:rPr>
          <w:rFonts w:hint="eastAsia" w:ascii="仿宋_GB2312" w:hAnsi="仿宋_GB2312" w:eastAsia="仿宋_GB2312" w:cs="仿宋_GB2312"/>
          <w:color w:val="auto"/>
          <w:spacing w:val="6"/>
          <w:sz w:val="30"/>
          <w:szCs w:val="30"/>
          <w:highlight w:val="none"/>
          <w:lang w:eastAsia="zh-CN"/>
        </w:rPr>
        <w:t>畅通举报渠道，强化宣传教育，发挥</w:t>
      </w:r>
      <w:r>
        <w:rPr>
          <w:rFonts w:hint="eastAsia" w:ascii="仿宋_GB2312" w:hAnsi="仿宋_GB2312" w:eastAsia="仿宋_GB2312" w:cs="仿宋_GB2312"/>
          <w:color w:val="auto"/>
          <w:spacing w:val="6"/>
          <w:sz w:val="30"/>
          <w:szCs w:val="30"/>
          <w:highlight w:val="none"/>
        </w:rPr>
        <w:t>社会监督员作用</w:t>
      </w:r>
      <w:r>
        <w:rPr>
          <w:rFonts w:hint="eastAsia" w:ascii="仿宋_GB2312" w:hAnsi="仿宋_GB2312" w:eastAsia="仿宋_GB2312" w:cs="仿宋_GB2312"/>
          <w:color w:val="auto"/>
          <w:spacing w:val="6"/>
          <w:sz w:val="30"/>
          <w:szCs w:val="30"/>
          <w:highlight w:val="none"/>
          <w:lang w:eastAsia="zh-CN"/>
        </w:rPr>
        <w:t>，营造社会共同监督医保基金使用良好氛围。</w:t>
      </w:r>
      <w:bookmarkEnd w:id="645"/>
      <w:bookmarkEnd w:id="646"/>
      <w:bookmarkEnd w:id="647"/>
      <w:bookmarkEnd w:id="648"/>
      <w:bookmarkEnd w:id="649"/>
      <w:bookmarkEnd w:id="650"/>
    </w:p>
    <w:p>
      <w:pPr>
        <w:pStyle w:val="5"/>
        <w:rPr>
          <w:rFonts w:hint="default"/>
          <w:color w:val="auto"/>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shd w:val="clear" w:color="auto" w:fill="CFCECE"/>
            <w:noWrap w:val="0"/>
            <w:vAlign w:val="center"/>
          </w:tcPr>
          <w:p>
            <w:pPr>
              <w:keepNext w:val="0"/>
              <w:keepLines w:val="0"/>
              <w:pageBreakBefore w:val="0"/>
              <w:widowControl w:val="0"/>
              <w:kinsoku/>
              <w:wordWrap/>
              <w:overflowPunct w:val="0"/>
              <w:topLinePunct w:val="0"/>
              <w:autoSpaceDE/>
              <w:autoSpaceDN/>
              <w:bidi w:val="0"/>
              <w:adjustRightInd w:val="0"/>
              <w:snapToGrid w:val="0"/>
              <w:spacing w:line="400" w:lineRule="exact"/>
              <w:jc w:val="center"/>
              <w:textAlignment w:val="auto"/>
              <w:rPr>
                <w:rFonts w:hint="default" w:ascii="Times New Roman" w:hAnsi="Times New Roman" w:eastAsia="黑体" w:cs="Times New Roman"/>
                <w:b w:val="0"/>
                <w:bCs w:val="0"/>
                <w:color w:val="auto"/>
                <w:spacing w:val="0"/>
                <w:sz w:val="28"/>
                <w:szCs w:val="28"/>
                <w:highlight w:val="none"/>
                <w:lang w:val="en-US" w:eastAsia="zh-CN"/>
              </w:rPr>
            </w:pPr>
            <w:r>
              <w:rPr>
                <w:rFonts w:hint="default" w:ascii="Times New Roman" w:hAnsi="Times New Roman" w:eastAsia="黑体" w:cs="Times New Roman"/>
                <w:b w:val="0"/>
                <w:bCs w:val="0"/>
                <w:color w:val="auto"/>
                <w:spacing w:val="0"/>
                <w:sz w:val="28"/>
                <w:szCs w:val="28"/>
                <w:highlight w:val="none"/>
                <w:lang w:val="en-US" w:eastAsia="zh-CN"/>
              </w:rPr>
              <w:t>重点任务3 健全基金监管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0" w:hRule="atLeast"/>
        </w:trPr>
        <w:tc>
          <w:tcPr>
            <w:tcW w:w="5000" w:type="pct"/>
            <w:noWrap w:val="0"/>
            <w:vAlign w:val="center"/>
          </w:tcPr>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43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1.</w:t>
            </w:r>
            <w:r>
              <w:rPr>
                <w:rFonts w:hint="default" w:ascii="Times New Roman" w:hAnsi="Times New Roman" w:eastAsia="宋体" w:cs="Times New Roman"/>
                <w:color w:val="auto"/>
                <w:spacing w:val="0"/>
                <w:sz w:val="24"/>
                <w:szCs w:val="24"/>
                <w:highlight w:val="none"/>
                <w:lang w:val="en-US" w:eastAsia="zh-CN"/>
              </w:rPr>
              <w:t>监督检查全覆盖</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43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eastAsia="zh-CN"/>
              </w:rPr>
              <w:t>五年内实现飞行检查二级及以上定点医疗机构全覆盖、各级经办机构全覆盖。</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43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2.大数据监管模型开发应用</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43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开发典型违法违规行为、特殊群体、药品耗材等监管模型，实现全险种全覆盖智能监管。包括住院监管模型、门诊监管模型、药店监管模型、药品耗材监管模型、参保人监管模型、药品追溯码监管模型、影像云监管模型、DRG/DIP监管模型、异地就医监管模型等。</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43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3.医保信用管理体系建设</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430" w:lineRule="exact"/>
              <w:ind w:firstLine="480" w:firstLineChars="200"/>
              <w:jc w:val="both"/>
              <w:textAlignment w:val="auto"/>
              <w:rPr>
                <w:rFonts w:hint="default" w:ascii="Times New Roman" w:hAnsi="Times New Roman" w:eastAsia="宋体" w:cs="Times New Roman"/>
                <w:b w:val="0"/>
                <w:bCs w:val="0"/>
                <w:color w:val="auto"/>
                <w:spacing w:val="0"/>
                <w:sz w:val="24"/>
                <w:szCs w:val="24"/>
                <w:highlight w:val="none"/>
                <w:vertAlign w:val="baseline"/>
                <w:lang w:val="en-US" w:eastAsia="zh-CN"/>
              </w:rPr>
            </w:pPr>
            <w:r>
              <w:rPr>
                <w:rFonts w:hint="default" w:ascii="Times New Roman" w:hAnsi="Times New Roman" w:eastAsia="宋体" w:cs="Times New Roman"/>
                <w:color w:val="auto"/>
                <w:spacing w:val="0"/>
                <w:sz w:val="24"/>
                <w:szCs w:val="24"/>
                <w:highlight w:val="none"/>
                <w:lang w:val="en-US" w:eastAsia="zh-CN"/>
              </w:rPr>
              <w:t>实施《海南自由贸易港医疗医保医药失信惩戒若干规定》《海南省医保基金监管领域信用管理办法》，建立定点医药机构信用评价、分级分类监管机制。</w:t>
            </w:r>
          </w:p>
        </w:tc>
      </w:tr>
    </w:tbl>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0"/>
        <w:rPr>
          <w:rFonts w:hint="eastAsia" w:ascii="黑体" w:hAnsi="黑体" w:eastAsia="黑体" w:cs="黑体"/>
          <w:color w:val="auto"/>
          <w:spacing w:val="6"/>
          <w:sz w:val="30"/>
          <w:szCs w:val="30"/>
          <w:highlight w:val="none"/>
          <w:lang w:val="en-US" w:eastAsia="zh-CN"/>
        </w:rPr>
      </w:pPr>
      <w:bookmarkStart w:id="714" w:name="_Toc17994"/>
      <w:bookmarkStart w:id="715" w:name="_Toc1279"/>
      <w:bookmarkStart w:id="716" w:name="_Toc7740"/>
      <w:bookmarkStart w:id="717" w:name="_Toc228153575"/>
      <w:bookmarkStart w:id="718" w:name="_Toc1469804079"/>
      <w:bookmarkStart w:id="719" w:name="_Toc8931"/>
      <w:bookmarkStart w:id="720" w:name="_Toc31554"/>
      <w:bookmarkStart w:id="721" w:name="_Toc12277"/>
      <w:bookmarkStart w:id="722" w:name="_Toc21585"/>
      <w:bookmarkStart w:id="723" w:name="_Toc21297"/>
      <w:bookmarkStart w:id="724" w:name="_Toc29209"/>
      <w:bookmarkStart w:id="725" w:name="_Toc23217"/>
      <w:bookmarkStart w:id="726" w:name="_Toc8092"/>
      <w:bookmarkStart w:id="727" w:name="_Toc10289"/>
      <w:bookmarkStart w:id="728" w:name="_Toc21806"/>
      <w:bookmarkStart w:id="729" w:name="_Toc1647"/>
      <w:bookmarkStart w:id="730" w:name="_Toc10968"/>
      <w:bookmarkStart w:id="731" w:name="_Toc8892"/>
      <w:bookmarkStart w:id="732" w:name="_Toc29074"/>
      <w:bookmarkStart w:id="733" w:name="_Toc19198"/>
      <w:bookmarkStart w:id="734" w:name="_Toc30188"/>
      <w:bookmarkStart w:id="735" w:name="_Toc22779"/>
      <w:bookmarkStart w:id="736" w:name="_Toc17753"/>
      <w:bookmarkStart w:id="737" w:name="_Toc28032"/>
      <w:bookmarkStart w:id="738" w:name="_Toc8349"/>
      <w:bookmarkStart w:id="739" w:name="_Toc29292"/>
      <w:bookmarkStart w:id="740" w:name="_Toc26096"/>
      <w:bookmarkStart w:id="741" w:name="_Toc4103"/>
      <w:bookmarkStart w:id="742" w:name="_Toc2160"/>
      <w:bookmarkStart w:id="743" w:name="_Toc1022"/>
      <w:bookmarkStart w:id="744" w:name="_Toc6103"/>
      <w:bookmarkStart w:id="745" w:name="_Toc15076"/>
      <w:r>
        <w:rPr>
          <w:rFonts w:hint="eastAsia" w:ascii="黑体" w:hAnsi="黑体" w:eastAsia="黑体" w:cs="黑体"/>
          <w:color w:val="auto"/>
          <w:spacing w:val="6"/>
          <w:sz w:val="30"/>
          <w:szCs w:val="30"/>
          <w:highlight w:val="none"/>
          <w:lang w:val="en-US" w:eastAsia="zh-CN"/>
        </w:rPr>
        <w:t>六、推进基金管理精细化</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全方位优化管理流程、创新管理手段，提高医保精细化管理水平，提升基金使用效益与制度可持续性。</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textAlignment w:val="auto"/>
        <w:outlineLvl w:val="1"/>
        <w:rPr>
          <w:rFonts w:hint="eastAsia" w:ascii="楷体_GB2312" w:hAnsi="楷体_GB2312" w:eastAsia="楷体_GB2312" w:cs="楷体_GB2312"/>
          <w:b w:val="0"/>
          <w:bCs w:val="0"/>
          <w:color w:val="auto"/>
          <w:spacing w:val="6"/>
          <w:sz w:val="30"/>
          <w:szCs w:val="30"/>
          <w:highlight w:val="none"/>
          <w:lang w:val="en-US" w:eastAsia="zh-CN"/>
        </w:rPr>
      </w:pPr>
      <w:bookmarkStart w:id="746" w:name="_Toc12382"/>
      <w:bookmarkStart w:id="747" w:name="_Toc2952"/>
      <w:bookmarkStart w:id="748" w:name="_Toc17154"/>
      <w:bookmarkStart w:id="749" w:name="_Toc22405"/>
      <w:bookmarkStart w:id="750" w:name="_Toc19253"/>
      <w:bookmarkStart w:id="751" w:name="_Toc14421"/>
      <w:bookmarkStart w:id="752" w:name="_Toc31846"/>
      <w:bookmarkStart w:id="753" w:name="_Toc2089718983"/>
      <w:bookmarkStart w:id="754" w:name="_Toc23948"/>
      <w:bookmarkStart w:id="755" w:name="_Toc289"/>
      <w:bookmarkStart w:id="756" w:name="_Toc1807"/>
      <w:bookmarkStart w:id="757" w:name="_Toc25293"/>
      <w:bookmarkStart w:id="758" w:name="_Toc23381"/>
      <w:bookmarkStart w:id="759" w:name="_Toc28940"/>
      <w:bookmarkStart w:id="760" w:name="_Toc5929"/>
      <w:bookmarkStart w:id="761" w:name="_Toc31729"/>
      <w:bookmarkStart w:id="762" w:name="_Toc1967986183"/>
      <w:bookmarkStart w:id="763" w:name="_Toc32331"/>
      <w:bookmarkStart w:id="764" w:name="_Toc16296"/>
      <w:bookmarkStart w:id="765" w:name="_Toc30388"/>
      <w:bookmarkStart w:id="766" w:name="_Toc9658"/>
      <w:bookmarkStart w:id="767" w:name="_Toc19816"/>
      <w:bookmarkStart w:id="768" w:name="_Toc28700"/>
      <w:bookmarkStart w:id="769" w:name="_Toc29949"/>
      <w:r>
        <w:rPr>
          <w:rFonts w:hint="eastAsia" w:ascii="楷体_GB2312" w:hAnsi="楷体_GB2312" w:eastAsia="楷体_GB2312" w:cs="楷体_GB2312"/>
          <w:b w:val="0"/>
          <w:bCs w:val="0"/>
          <w:color w:val="auto"/>
          <w:spacing w:val="6"/>
          <w:sz w:val="30"/>
          <w:szCs w:val="30"/>
          <w:highlight w:val="none"/>
          <w:lang w:val="en-US" w:eastAsia="zh-CN"/>
        </w:rPr>
        <w:t>（二十二）强化基金预算管理与统筹责任</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Fonts w:hint="eastAsia" w:ascii="楷体_GB2312" w:hAnsi="楷体_GB2312" w:eastAsia="楷体_GB2312" w:cs="楷体_GB2312"/>
          <w:b w:val="0"/>
          <w:bCs w:val="0"/>
          <w:color w:val="auto"/>
          <w:spacing w:val="6"/>
          <w:sz w:val="30"/>
          <w:szCs w:val="30"/>
          <w:highlight w:val="none"/>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default" w:ascii="仿宋_GB2312" w:hAnsi="仿宋_GB2312" w:eastAsia="仿宋_GB2312" w:cs="仿宋_GB2312"/>
          <w:color w:val="auto"/>
          <w:spacing w:val="6"/>
          <w:sz w:val="30"/>
          <w:szCs w:val="30"/>
          <w:highlight w:val="none"/>
          <w:lang w:val="en-US" w:eastAsia="zh-CN"/>
        </w:rPr>
        <w:t>强化支出总额管理</w:t>
      </w:r>
      <w:r>
        <w:rPr>
          <w:rFonts w:hint="eastAsia" w:ascii="仿宋_GB2312" w:hAnsi="仿宋_GB2312" w:eastAsia="仿宋_GB2312" w:cs="仿宋_GB2312"/>
          <w:color w:val="auto"/>
          <w:spacing w:val="6"/>
          <w:sz w:val="30"/>
          <w:szCs w:val="30"/>
          <w:highlight w:val="none"/>
          <w:lang w:val="en-US" w:eastAsia="zh-CN"/>
        </w:rPr>
        <w:t>。完善基本医疗保险基金省、市（县）两级责任分担机制，探索建立长期护理保险基金省、市（县）两级责任分担机制。以预算管理为抓手落实统筹责任，坚持“以收定支、收支平衡、略有结余”原则，科学编制基金年度收支预算；以“职退比”“老龄化率”为主要测算参数，综合考虑各市县疾病谱、发病率及参保人群结构，提升预算编制精准度</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lang w:val="en-US" w:eastAsia="zh-CN"/>
        </w:rPr>
        <w:t>强化预算执行刚性约束。</w:t>
      </w:r>
    </w:p>
    <w:p>
      <w:pPr>
        <w:pStyle w:val="12"/>
        <w:keepNext w:val="0"/>
        <w:keepLines w:val="0"/>
        <w:pageBreakBefore w:val="0"/>
        <w:widowControl w:val="0"/>
        <w:kinsoku/>
        <w:wordWrap/>
        <w:overflowPunct w:val="0"/>
        <w:topLinePunct w:val="0"/>
        <w:autoSpaceDE/>
        <w:autoSpaceDN/>
        <w:bidi w:val="0"/>
        <w:adjustRightInd w:val="0"/>
        <w:snapToGrid w:val="0"/>
        <w:spacing w:before="0" w:after="0" w:line="578" w:lineRule="exact"/>
        <w:ind w:firstLine="624" w:firstLineChars="200"/>
        <w:jc w:val="both"/>
        <w:textAlignment w:val="auto"/>
        <w:outlineLvl w:val="1"/>
        <w:rPr>
          <w:rFonts w:hint="eastAsia" w:ascii="楷体_GB2312" w:hAnsi="楷体_GB2312" w:eastAsia="楷体_GB2312" w:cs="楷体_GB2312"/>
          <w:color w:val="auto"/>
          <w:spacing w:val="6"/>
          <w:kern w:val="2"/>
          <w:sz w:val="30"/>
          <w:szCs w:val="30"/>
          <w:highlight w:val="none"/>
          <w:lang w:val="en-US" w:eastAsia="zh-CN" w:bidi="ar-SA"/>
        </w:rPr>
      </w:pPr>
      <w:bookmarkStart w:id="770" w:name="_Toc2613"/>
      <w:bookmarkStart w:id="771" w:name="_Toc13455"/>
      <w:bookmarkStart w:id="772" w:name="_Toc22790"/>
      <w:bookmarkStart w:id="773" w:name="_Toc18739"/>
      <w:bookmarkStart w:id="774" w:name="_Toc1096"/>
      <w:bookmarkStart w:id="775" w:name="_Toc18958"/>
      <w:bookmarkStart w:id="776" w:name="_Toc9936"/>
      <w:bookmarkStart w:id="777" w:name="_Toc7560"/>
      <w:bookmarkStart w:id="778" w:name="_Toc2478"/>
      <w:bookmarkStart w:id="779" w:name="_Toc22131061"/>
      <w:bookmarkStart w:id="780" w:name="_Toc12065"/>
      <w:bookmarkStart w:id="781" w:name="_Toc18006"/>
      <w:bookmarkStart w:id="782" w:name="_Toc2070251540"/>
      <w:bookmarkStart w:id="783" w:name="_Toc32260"/>
      <w:bookmarkStart w:id="784" w:name="_Toc2162"/>
      <w:bookmarkStart w:id="785" w:name="_Toc1151"/>
      <w:bookmarkStart w:id="786" w:name="_Toc9505"/>
      <w:bookmarkStart w:id="787" w:name="_Toc23673"/>
      <w:bookmarkStart w:id="788" w:name="_Toc14251"/>
      <w:bookmarkStart w:id="789" w:name="_Toc5414"/>
      <w:bookmarkStart w:id="790" w:name="_Toc31030"/>
      <w:bookmarkStart w:id="791" w:name="_Toc25343"/>
      <w:bookmarkStart w:id="792" w:name="_Toc17193"/>
      <w:bookmarkStart w:id="793" w:name="_Toc20972"/>
      <w:r>
        <w:rPr>
          <w:rFonts w:hint="eastAsia" w:ascii="楷体_GB2312" w:hAnsi="楷体_GB2312" w:eastAsia="楷体_GB2312" w:cs="楷体_GB2312"/>
          <w:color w:val="auto"/>
          <w:spacing w:val="6"/>
          <w:kern w:val="2"/>
          <w:sz w:val="30"/>
          <w:szCs w:val="30"/>
          <w:highlight w:val="none"/>
          <w:lang w:val="en-US" w:eastAsia="zh-CN" w:bidi="ar-SA"/>
        </w:rPr>
        <w:t>（二十三）加强基金运行监测与风险防控</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Fonts w:hint="eastAsia" w:ascii="楷体_GB2312" w:hAnsi="楷体_GB2312" w:eastAsia="楷体_GB2312" w:cs="楷体_GB2312"/>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研究建立基金中长期精算模型。建立和完善基金风险预警机制和分级分类的基金风险处置预案，提升基金风险识别和应对能力。开展职工参保人全生命周期基金收支精算，以参保人年龄、医疗费用为核心维度，建立精算模型，动态分析政策调整对基金的影响。着眼人口老龄化加速演进和职退休比变化趋势，科学研判基金中长期收支形势。统筹当前与长远，在持续提升群众待遇保障水平的同时，强化基金中长期平衡监测，确保医保制度可持续运行。</w:t>
      </w:r>
    </w:p>
    <w:p>
      <w:pPr>
        <w:pStyle w:val="12"/>
        <w:keepNext w:val="0"/>
        <w:keepLines w:val="0"/>
        <w:pageBreakBefore w:val="0"/>
        <w:widowControl w:val="0"/>
        <w:kinsoku/>
        <w:wordWrap/>
        <w:overflowPunct w:val="0"/>
        <w:topLinePunct w:val="0"/>
        <w:autoSpaceDE/>
        <w:autoSpaceDN/>
        <w:bidi w:val="0"/>
        <w:adjustRightInd w:val="0"/>
        <w:snapToGrid w:val="0"/>
        <w:spacing w:before="0" w:after="0" w:line="578" w:lineRule="exact"/>
        <w:ind w:left="0" w:leftChars="0" w:firstLine="624" w:firstLineChars="200"/>
        <w:jc w:val="both"/>
        <w:textAlignment w:val="auto"/>
        <w:outlineLvl w:val="1"/>
        <w:rPr>
          <w:rFonts w:hint="eastAsia" w:ascii="楷体_GB2312" w:hAnsi="楷体_GB2312" w:eastAsia="楷体_GB2312" w:cs="楷体_GB2312"/>
          <w:color w:val="auto"/>
          <w:spacing w:val="6"/>
          <w:kern w:val="2"/>
          <w:sz w:val="30"/>
          <w:szCs w:val="30"/>
          <w:highlight w:val="none"/>
          <w:lang w:val="en-US" w:eastAsia="zh-CN" w:bidi="ar-SA"/>
        </w:rPr>
      </w:pPr>
      <w:bookmarkStart w:id="794" w:name="_Toc1953328596"/>
      <w:bookmarkStart w:id="795" w:name="_Toc4997"/>
      <w:bookmarkStart w:id="796" w:name="_Toc10871"/>
      <w:bookmarkStart w:id="797" w:name="_Toc16201"/>
      <w:bookmarkStart w:id="798" w:name="_Toc4095"/>
      <w:bookmarkStart w:id="799" w:name="_Toc30137"/>
      <w:bookmarkStart w:id="800" w:name="_Toc14280"/>
      <w:bookmarkStart w:id="801" w:name="_Toc22919"/>
      <w:bookmarkStart w:id="802" w:name="_Toc4227"/>
      <w:bookmarkStart w:id="803" w:name="_Toc29722"/>
      <w:bookmarkStart w:id="804" w:name="_Toc2536"/>
      <w:bookmarkStart w:id="805" w:name="_Toc4421"/>
      <w:bookmarkStart w:id="806" w:name="_Toc24987"/>
      <w:bookmarkStart w:id="807" w:name="_Toc26725"/>
      <w:bookmarkStart w:id="808" w:name="_Toc29641"/>
      <w:bookmarkStart w:id="809" w:name="_Toc10942"/>
      <w:bookmarkStart w:id="810" w:name="_Toc1162256655"/>
      <w:bookmarkStart w:id="811" w:name="_Toc6702"/>
      <w:bookmarkStart w:id="812" w:name="_Toc13402"/>
      <w:bookmarkStart w:id="813" w:name="_Toc22675"/>
      <w:bookmarkStart w:id="814" w:name="_Toc23365"/>
      <w:bookmarkStart w:id="815" w:name="_Toc20407"/>
      <w:bookmarkStart w:id="816" w:name="_Toc27074"/>
      <w:bookmarkStart w:id="817" w:name="_Toc9491"/>
      <w:r>
        <w:rPr>
          <w:rFonts w:hint="eastAsia" w:ascii="楷体_GB2312" w:hAnsi="楷体_GB2312" w:eastAsia="楷体_GB2312" w:cs="楷体_GB2312"/>
          <w:color w:val="auto"/>
          <w:spacing w:val="6"/>
          <w:kern w:val="2"/>
          <w:sz w:val="30"/>
          <w:szCs w:val="30"/>
          <w:highlight w:val="none"/>
          <w:lang w:val="en-US" w:eastAsia="zh-CN" w:bidi="ar-SA"/>
        </w:rPr>
        <w:t>（二十四）深化医保基金结算管理</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Fonts w:hint="eastAsia" w:ascii="楷体_GB2312" w:hAnsi="楷体_GB2312" w:eastAsia="楷体_GB2312" w:cs="楷体_GB2312"/>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持续推进医保基金对医疗机构即时结算、对医药企业直接结算、与商业医疗保险同步结算的“三结算”改革。优化预付金制度，对符合条件的定点医疗机构预付医保费用，建立预付金“年初预拨、年终清算”管理机制，实行全流程监管。全面落实医保基金清算提质增效三年行动计划</w:t>
      </w:r>
      <w:r>
        <w:rPr>
          <w:rFonts w:hint="default" w:ascii="仿宋_GB2312" w:hAnsi="仿宋_GB2312" w:eastAsia="仿宋_GB2312" w:cs="仿宋_GB2312"/>
          <w:color w:val="auto"/>
          <w:spacing w:val="6"/>
          <w:sz w:val="30"/>
          <w:szCs w:val="30"/>
          <w:highlight w:val="none"/>
          <w:lang w:val="en-US" w:eastAsia="zh-CN"/>
        </w:rPr>
        <w:t>，</w:t>
      </w:r>
      <w:r>
        <w:rPr>
          <w:rFonts w:hint="eastAsia" w:ascii="仿宋_GB2312" w:hAnsi="仿宋_GB2312" w:eastAsia="仿宋_GB2312" w:cs="仿宋_GB2312"/>
          <w:color w:val="auto"/>
          <w:spacing w:val="6"/>
          <w:sz w:val="30"/>
          <w:szCs w:val="30"/>
          <w:highlight w:val="none"/>
          <w:lang w:val="en-US" w:eastAsia="zh-CN"/>
        </w:rPr>
        <w:t>将清算资金占全年基金拨付比例逐步降至3%左右，健全全国异地结算清算平台海南节点功能，提升清算协同效能。扎实推广“医保钱包”应用，推进职工医保个人账户跨省共济。</w:t>
      </w:r>
    </w:p>
    <w:p>
      <w:pPr>
        <w:pStyle w:val="12"/>
        <w:keepNext w:val="0"/>
        <w:keepLines w:val="0"/>
        <w:pageBreakBefore w:val="0"/>
        <w:widowControl w:val="0"/>
        <w:kinsoku/>
        <w:wordWrap/>
        <w:overflowPunct w:val="0"/>
        <w:topLinePunct w:val="0"/>
        <w:autoSpaceDE/>
        <w:autoSpaceDN/>
        <w:bidi w:val="0"/>
        <w:adjustRightInd w:val="0"/>
        <w:snapToGrid w:val="0"/>
        <w:spacing w:before="0" w:after="0" w:line="578" w:lineRule="exact"/>
        <w:ind w:left="0" w:leftChars="0" w:firstLine="624" w:firstLineChars="200"/>
        <w:jc w:val="both"/>
        <w:textAlignment w:val="auto"/>
        <w:outlineLvl w:val="1"/>
        <w:rPr>
          <w:rFonts w:hint="eastAsia" w:ascii="楷体_GB2312" w:hAnsi="楷体_GB2312" w:eastAsia="楷体_GB2312" w:cs="楷体_GB2312"/>
          <w:color w:val="auto"/>
          <w:spacing w:val="6"/>
          <w:kern w:val="2"/>
          <w:sz w:val="30"/>
          <w:szCs w:val="30"/>
          <w:highlight w:val="none"/>
          <w:lang w:val="en-US" w:eastAsia="zh-CN" w:bidi="ar-SA"/>
        </w:rPr>
      </w:pPr>
      <w:bookmarkStart w:id="818" w:name="_Toc29939"/>
      <w:bookmarkStart w:id="819" w:name="_Toc10413"/>
      <w:bookmarkStart w:id="820" w:name="_Toc26673"/>
      <w:bookmarkStart w:id="821" w:name="_Toc105172497"/>
      <w:bookmarkStart w:id="822" w:name="_Toc16504"/>
      <w:bookmarkStart w:id="823" w:name="_Toc17725"/>
      <w:bookmarkStart w:id="824" w:name="_Toc21443"/>
      <w:bookmarkStart w:id="825" w:name="_Toc8628"/>
      <w:bookmarkStart w:id="826" w:name="_Toc30467"/>
      <w:bookmarkStart w:id="827" w:name="_Toc30689"/>
      <w:bookmarkStart w:id="828" w:name="_Toc24738"/>
      <w:bookmarkStart w:id="829" w:name="_Toc17782"/>
      <w:bookmarkStart w:id="830" w:name="_Toc22894"/>
      <w:bookmarkStart w:id="831" w:name="_Toc18605"/>
      <w:bookmarkStart w:id="832" w:name="_Toc31521"/>
      <w:bookmarkStart w:id="833" w:name="_Toc5064"/>
      <w:bookmarkStart w:id="834" w:name="_Toc32266"/>
      <w:bookmarkStart w:id="835" w:name="_Toc17816"/>
      <w:bookmarkStart w:id="836" w:name="_Toc5741"/>
      <w:bookmarkStart w:id="837" w:name="_Toc7417"/>
      <w:bookmarkStart w:id="838" w:name="_Toc18795"/>
      <w:bookmarkStart w:id="839" w:name="_Toc27162"/>
      <w:bookmarkStart w:id="840" w:name="_Toc30320"/>
      <w:bookmarkStart w:id="841" w:name="_Toc30221542"/>
      <w:r>
        <w:rPr>
          <w:rFonts w:hint="eastAsia" w:ascii="楷体_GB2312" w:hAnsi="楷体_GB2312" w:eastAsia="楷体_GB2312" w:cs="楷体_GB2312"/>
          <w:color w:val="auto"/>
          <w:spacing w:val="6"/>
          <w:kern w:val="2"/>
          <w:sz w:val="30"/>
          <w:szCs w:val="30"/>
          <w:highlight w:val="none"/>
          <w:lang w:val="en-US" w:eastAsia="zh-CN" w:bidi="ar-SA"/>
        </w:rPr>
        <w:t>（二十五）开展定点机构资源配置规划</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Fonts w:hint="eastAsia" w:ascii="楷体_GB2312" w:hAnsi="楷体_GB2312" w:eastAsia="楷体_GB2312" w:cs="楷体_GB2312"/>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按照“控制总量、调整存量、优化增量、提高质量”的原则，省医疗保障、卫生健康等部门协同制定定点机构资源配置规划，科学合理确定基本医保定点医药机构、长期护理保险定点服务机构资源配置总量和结构。建立定点机构资源配置评估和调整机制，将定点资源配置管理融入定点申报、评估、纳入、调整、考核、</w:t>
      </w:r>
      <w:r>
        <w:rPr>
          <w:rFonts w:hint="eastAsia" w:ascii="仿宋_GB2312" w:hAnsi="仿宋_GB2312" w:eastAsia="仿宋_GB2312" w:cs="仿宋_GB2312"/>
          <w:color w:val="auto"/>
          <w:spacing w:val="0"/>
          <w:sz w:val="30"/>
          <w:szCs w:val="30"/>
          <w:highlight w:val="none"/>
          <w:lang w:val="en-US" w:eastAsia="zh-CN"/>
        </w:rPr>
        <w:t>退出全流程。建设定点资源配置分析系统，支撑两定机构线上申报。</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0"/>
        <w:rPr>
          <w:rFonts w:hint="eastAsia" w:ascii="黑体" w:hAnsi="黑体" w:eastAsia="黑体" w:cs="黑体"/>
          <w:color w:val="auto"/>
          <w:spacing w:val="6"/>
          <w:sz w:val="30"/>
          <w:szCs w:val="30"/>
          <w:highlight w:val="none"/>
        </w:rPr>
      </w:pPr>
      <w:bookmarkStart w:id="842" w:name="_Toc23414"/>
      <w:bookmarkStart w:id="843" w:name="_Toc4674"/>
      <w:bookmarkStart w:id="844" w:name="_Toc19228"/>
      <w:bookmarkStart w:id="845" w:name="_Toc19532"/>
      <w:bookmarkStart w:id="846" w:name="_Toc30101"/>
      <w:bookmarkStart w:id="847" w:name="_Toc16204"/>
      <w:bookmarkStart w:id="848" w:name="_Toc8268"/>
      <w:bookmarkStart w:id="849" w:name="_Toc17866"/>
      <w:bookmarkStart w:id="850" w:name="_Toc15245"/>
      <w:bookmarkStart w:id="851" w:name="_Toc9026"/>
      <w:bookmarkStart w:id="852" w:name="_Toc19971"/>
      <w:bookmarkStart w:id="853" w:name="_Toc30055"/>
      <w:bookmarkStart w:id="854" w:name="_Toc16058"/>
      <w:bookmarkStart w:id="855" w:name="_Toc27606"/>
      <w:bookmarkStart w:id="856" w:name="_Toc14082"/>
      <w:bookmarkStart w:id="857" w:name="_Toc1679879222"/>
      <w:bookmarkStart w:id="858" w:name="_Toc17957"/>
      <w:bookmarkStart w:id="859" w:name="_Toc17186"/>
      <w:bookmarkStart w:id="860" w:name="_Toc17548"/>
      <w:bookmarkStart w:id="861" w:name="_Toc17492"/>
      <w:bookmarkStart w:id="862" w:name="_Toc23252"/>
      <w:bookmarkStart w:id="863" w:name="_Toc28907"/>
      <w:bookmarkStart w:id="864" w:name="_Toc1134379163"/>
      <w:bookmarkStart w:id="865" w:name="_Toc16723"/>
      <w:r>
        <w:rPr>
          <w:rFonts w:hint="eastAsia" w:ascii="黑体" w:hAnsi="黑体" w:eastAsia="黑体" w:cs="黑体"/>
          <w:color w:val="auto"/>
          <w:spacing w:val="6"/>
          <w:sz w:val="30"/>
          <w:szCs w:val="30"/>
          <w:highlight w:val="none"/>
          <w:lang w:val="en-US" w:eastAsia="zh-CN"/>
        </w:rPr>
        <w:t>七、推进医保数智化转型</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eastAsia="zh-CN"/>
        </w:rPr>
      </w:pPr>
      <w:r>
        <w:rPr>
          <w:rFonts w:hint="eastAsia" w:ascii="仿宋_GB2312" w:hAnsi="仿宋_GB2312" w:eastAsia="仿宋_GB2312" w:cs="仿宋_GB2312"/>
          <w:color w:val="auto"/>
          <w:spacing w:val="6"/>
          <w:sz w:val="30"/>
          <w:szCs w:val="30"/>
          <w:highlight w:val="none"/>
          <w:lang w:val="en-US" w:eastAsia="zh-CN"/>
        </w:rPr>
        <w:t>聚焦“数联”与“智通”，推进“人工智能+”医保建设应用，围绕</w:t>
      </w:r>
      <w:r>
        <w:rPr>
          <w:rFonts w:hint="eastAsia" w:ascii="仿宋_GB2312" w:hAnsi="仿宋_GB2312" w:eastAsia="仿宋_GB2312" w:cs="仿宋_GB2312"/>
          <w:color w:val="auto"/>
          <w:spacing w:val="6"/>
          <w:sz w:val="30"/>
          <w:szCs w:val="30"/>
          <w:highlight w:val="none"/>
        </w:rPr>
        <w:t>“</w:t>
      </w:r>
      <w:r>
        <w:rPr>
          <w:rFonts w:hint="eastAsia" w:ascii="仿宋_GB2312" w:hAnsi="仿宋_GB2312" w:eastAsia="仿宋_GB2312" w:cs="仿宋_GB2312"/>
          <w:color w:val="auto"/>
          <w:spacing w:val="6"/>
          <w:sz w:val="30"/>
          <w:szCs w:val="30"/>
          <w:highlight w:val="none"/>
          <w:lang w:eastAsia="zh-CN"/>
        </w:rPr>
        <w:t>一数据基座、</w:t>
      </w:r>
      <w:r>
        <w:rPr>
          <w:rFonts w:hint="eastAsia" w:ascii="仿宋_GB2312" w:hAnsi="仿宋_GB2312" w:eastAsia="仿宋_GB2312" w:cs="仿宋_GB2312"/>
          <w:color w:val="auto"/>
          <w:spacing w:val="6"/>
          <w:sz w:val="30"/>
          <w:szCs w:val="30"/>
          <w:highlight w:val="none"/>
        </w:rPr>
        <w:t>一</w:t>
      </w:r>
      <w:r>
        <w:rPr>
          <w:rFonts w:hint="eastAsia" w:ascii="仿宋_GB2312" w:hAnsi="仿宋_GB2312" w:eastAsia="仿宋_GB2312" w:cs="仿宋_GB2312"/>
          <w:color w:val="auto"/>
          <w:spacing w:val="6"/>
          <w:sz w:val="30"/>
          <w:szCs w:val="30"/>
          <w:highlight w:val="none"/>
          <w:lang w:eastAsia="zh-CN"/>
        </w:rPr>
        <w:t>系统</w:t>
      </w:r>
      <w:r>
        <w:rPr>
          <w:rFonts w:hint="eastAsia" w:ascii="仿宋_GB2312" w:hAnsi="仿宋_GB2312" w:eastAsia="仿宋_GB2312" w:cs="仿宋_GB2312"/>
          <w:color w:val="auto"/>
          <w:spacing w:val="6"/>
          <w:sz w:val="30"/>
          <w:szCs w:val="30"/>
          <w:highlight w:val="none"/>
          <w:lang w:val="en-US" w:eastAsia="zh-CN"/>
        </w:rPr>
        <w:t>平台</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多</w:t>
      </w:r>
      <w:r>
        <w:rPr>
          <w:rFonts w:hint="eastAsia" w:ascii="仿宋_GB2312" w:hAnsi="仿宋_GB2312" w:eastAsia="仿宋_GB2312" w:cs="仿宋_GB2312"/>
          <w:color w:val="auto"/>
          <w:spacing w:val="6"/>
          <w:sz w:val="30"/>
          <w:szCs w:val="30"/>
          <w:highlight w:val="none"/>
          <w:lang w:eastAsia="zh-CN"/>
        </w:rPr>
        <w:t>应用</w:t>
      </w:r>
      <w:r>
        <w:rPr>
          <w:rFonts w:hint="eastAsia" w:ascii="仿宋_GB2312" w:hAnsi="仿宋_GB2312" w:eastAsia="仿宋_GB2312" w:cs="仿宋_GB2312"/>
          <w:color w:val="auto"/>
          <w:spacing w:val="6"/>
          <w:sz w:val="30"/>
          <w:szCs w:val="30"/>
          <w:highlight w:val="none"/>
        </w:rPr>
        <w:t>场景”</w:t>
      </w:r>
      <w:r>
        <w:rPr>
          <w:rFonts w:hint="eastAsia" w:ascii="仿宋_GB2312" w:hAnsi="仿宋_GB2312" w:eastAsia="仿宋_GB2312" w:cs="仿宋_GB2312"/>
          <w:color w:val="auto"/>
          <w:spacing w:val="6"/>
          <w:sz w:val="30"/>
          <w:szCs w:val="30"/>
          <w:highlight w:val="none"/>
          <w:lang w:val="en-US" w:eastAsia="zh-CN"/>
        </w:rPr>
        <w:t>，推动医保信息化从“有”到“优”。</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78" w:lineRule="exact"/>
        <w:ind w:left="0" w:leftChars="0" w:firstLine="624" w:firstLineChars="200"/>
        <w:jc w:val="both"/>
        <w:textAlignment w:val="auto"/>
        <w:outlineLvl w:val="1"/>
        <w:rPr>
          <w:rFonts w:hint="eastAsia" w:ascii="楷体_GB2312" w:hAnsi="楷体_GB2312" w:eastAsia="楷体_GB2312" w:cs="楷体_GB2312"/>
          <w:color w:val="auto"/>
          <w:spacing w:val="6"/>
          <w:kern w:val="2"/>
          <w:sz w:val="30"/>
          <w:szCs w:val="30"/>
          <w:highlight w:val="none"/>
          <w:lang w:val="en-US" w:eastAsia="zh-CN" w:bidi="ar-SA"/>
        </w:rPr>
      </w:pPr>
      <w:bookmarkStart w:id="866" w:name="_Toc16977"/>
      <w:bookmarkStart w:id="867" w:name="_Toc1763"/>
      <w:bookmarkStart w:id="868" w:name="_Toc26709"/>
      <w:bookmarkStart w:id="869" w:name="_Toc18936"/>
      <w:bookmarkStart w:id="870" w:name="_Toc15351"/>
      <w:bookmarkStart w:id="871" w:name="_Toc15761"/>
      <w:bookmarkStart w:id="872" w:name="_Toc19398"/>
      <w:bookmarkStart w:id="873" w:name="_Toc12073"/>
      <w:bookmarkStart w:id="874" w:name="_Toc8797"/>
      <w:bookmarkStart w:id="875" w:name="_Toc25538"/>
      <w:bookmarkStart w:id="876" w:name="_Toc923"/>
      <w:bookmarkStart w:id="877" w:name="_Toc27895"/>
      <w:bookmarkStart w:id="878" w:name="_Toc540954676"/>
      <w:bookmarkStart w:id="879" w:name="_Toc24354"/>
      <w:bookmarkStart w:id="880" w:name="_Toc12687"/>
      <w:bookmarkStart w:id="881" w:name="_Toc22026"/>
      <w:bookmarkStart w:id="882" w:name="_Toc5759"/>
      <w:bookmarkStart w:id="883" w:name="_Toc20180"/>
      <w:bookmarkStart w:id="884" w:name="_Toc15233"/>
      <w:bookmarkStart w:id="885" w:name="_Toc2060"/>
      <w:bookmarkStart w:id="886" w:name="_Toc10764"/>
      <w:bookmarkStart w:id="887" w:name="_Toc24209"/>
      <w:bookmarkStart w:id="888" w:name="_Toc349129013"/>
      <w:bookmarkStart w:id="889" w:name="_Toc13068"/>
      <w:r>
        <w:rPr>
          <w:rFonts w:hint="eastAsia" w:ascii="楷体_GB2312" w:hAnsi="楷体_GB2312" w:eastAsia="楷体_GB2312" w:cs="楷体_GB2312"/>
          <w:color w:val="auto"/>
          <w:spacing w:val="6"/>
          <w:kern w:val="2"/>
          <w:sz w:val="30"/>
          <w:szCs w:val="30"/>
          <w:highlight w:val="none"/>
          <w:lang w:val="en-US" w:eastAsia="zh-CN" w:bidi="ar-SA"/>
        </w:rPr>
        <w:t>（二十六）完善医保信息平台功能体系</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rPr>
          <w:rFonts w:hint="eastAsia" w:ascii="楷体_GB2312" w:hAnsi="楷体_GB2312" w:eastAsia="楷体_GB2312" w:cs="楷体_GB2312"/>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新建长期护理保险管理系统、DRG/DIP多元支付管理系统、药品耗材追溯码信息管理应用系统、数字监测系统，升级智能监管系统、信用评价系统、公共服务系统、药品及医用耗材招采管理系统、医保基金业财银一体化系统、定点医药机构协议管理系统，</w:t>
      </w:r>
      <w:r>
        <w:rPr>
          <w:rFonts w:hint="eastAsia" w:ascii="仿宋_GB2312" w:hAnsi="仿宋_GB2312" w:eastAsia="仿宋_GB2312" w:cs="仿宋_GB2312"/>
          <w:color w:val="auto"/>
          <w:spacing w:val="6"/>
          <w:sz w:val="30"/>
          <w:szCs w:val="30"/>
          <w:highlight w:val="none"/>
          <w:lang w:eastAsia="zh-CN"/>
        </w:rPr>
        <w:t>支持经办部门基于医保平台灵活开展数智场景建设，</w:t>
      </w:r>
      <w:r>
        <w:rPr>
          <w:rFonts w:hint="eastAsia" w:ascii="仿宋_GB2312" w:hAnsi="仿宋_GB2312" w:eastAsia="仿宋_GB2312" w:cs="仿宋_GB2312"/>
          <w:color w:val="auto"/>
          <w:spacing w:val="6"/>
          <w:sz w:val="30"/>
          <w:szCs w:val="30"/>
          <w:highlight w:val="none"/>
          <w:lang w:val="en-US" w:eastAsia="zh-CN"/>
        </w:rPr>
        <w:t>拓展病历智能审核功能，补齐业务场景覆盖短板，强化核心业务协同。推进“医保影像云”和“医保病理云”建设，强化数据治理、共享和应用。完善数字监测系统，拓展医保专区、数据发布专区等功能模块，形成“可观、可研、可防、可评”的全链条监测体系。推动“个人医保云”试点任务实施，打造覆盖全人群、全周期、全场景的智慧医保管理范式。</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78" w:lineRule="exact"/>
        <w:ind w:left="0" w:leftChars="0" w:firstLine="624" w:firstLineChars="200"/>
        <w:jc w:val="both"/>
        <w:textAlignment w:val="auto"/>
        <w:outlineLvl w:val="1"/>
        <w:rPr>
          <w:rFonts w:hint="eastAsia" w:ascii="楷体_GB2312" w:hAnsi="楷体_GB2312" w:eastAsia="楷体_GB2312" w:cs="楷体_GB2312"/>
          <w:color w:val="auto"/>
          <w:spacing w:val="6"/>
          <w:kern w:val="2"/>
          <w:sz w:val="30"/>
          <w:szCs w:val="30"/>
          <w:highlight w:val="none"/>
          <w:lang w:val="en-US" w:eastAsia="zh-CN" w:bidi="ar-SA"/>
        </w:rPr>
      </w:pPr>
      <w:bookmarkStart w:id="890" w:name="_Toc6994"/>
      <w:bookmarkStart w:id="891" w:name="_Toc590267508"/>
      <w:bookmarkStart w:id="892" w:name="_Toc20228"/>
      <w:bookmarkStart w:id="893" w:name="_Toc18196"/>
      <w:bookmarkStart w:id="894" w:name="_Toc24651"/>
      <w:bookmarkStart w:id="895" w:name="_Toc18884"/>
      <w:bookmarkStart w:id="896" w:name="_Toc2895"/>
      <w:bookmarkStart w:id="897" w:name="_Toc15873"/>
      <w:bookmarkStart w:id="898" w:name="_Toc8919"/>
      <w:bookmarkStart w:id="899" w:name="_Toc23484"/>
      <w:bookmarkStart w:id="900" w:name="_Toc15218"/>
      <w:bookmarkStart w:id="901" w:name="_Toc21942"/>
      <w:bookmarkStart w:id="902" w:name="_Toc23520"/>
      <w:bookmarkStart w:id="903" w:name="_Toc20335"/>
      <w:bookmarkStart w:id="904" w:name="_Toc28681"/>
      <w:bookmarkStart w:id="905" w:name="_Toc9995"/>
      <w:bookmarkStart w:id="906" w:name="_Toc1033512042"/>
      <w:bookmarkStart w:id="907" w:name="_Toc8471"/>
      <w:bookmarkStart w:id="908" w:name="_Toc2698"/>
      <w:bookmarkStart w:id="909" w:name="_Toc23999"/>
      <w:bookmarkStart w:id="910" w:name="_Toc25746"/>
      <w:bookmarkStart w:id="911" w:name="_Toc25391"/>
      <w:bookmarkStart w:id="912" w:name="_Toc19787"/>
      <w:bookmarkStart w:id="913" w:name="_Toc28211"/>
      <w:r>
        <w:rPr>
          <w:rFonts w:hint="eastAsia" w:ascii="楷体_GB2312" w:hAnsi="楷体_GB2312" w:eastAsia="楷体_GB2312" w:cs="楷体_GB2312"/>
          <w:color w:val="auto"/>
          <w:spacing w:val="6"/>
          <w:kern w:val="2"/>
          <w:sz w:val="30"/>
          <w:szCs w:val="30"/>
          <w:highlight w:val="none"/>
          <w:lang w:val="en-US" w:eastAsia="zh-CN" w:bidi="ar-SA"/>
        </w:rPr>
        <w:t>（二十七）推进人工智能深度应用</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Fonts w:hint="eastAsia" w:ascii="楷体_GB2312" w:hAnsi="楷体_GB2312" w:eastAsia="楷体_GB2312" w:cs="楷体_GB2312"/>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建设AI两库，依托人工智能算法、大数据挖掘、知识图谱、自然语言处理技术，实现知识库与规则库的自动抽取、自动生成、智能关联、自主迭代。拓展医保结算智能审核、医疗行为智能监管、辅助经办事中审核、DRG/DIP分组精准监管、欺诈骗保智能预警、慢特病精细化监管、异地就医协同监管、医保内控合规监管等应用场景，全面实现监管系统从静态“规则库”“知识库”向动态学习、深度分析升级。围绕关键业务场景分阶段推进医保智能体落地，探索人工智能在医保真实世界数据研究等领域应用，推进医保经办数字化、智能化转型。深化医保数据治理，统一数据标准，推动数据共享，充分发挥数据资源在智能监管、政策制定、经办服务等领域的支撑作用。</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78" w:lineRule="exact"/>
        <w:ind w:left="0" w:leftChars="0" w:firstLine="624" w:firstLineChars="200"/>
        <w:jc w:val="both"/>
        <w:textAlignment w:val="auto"/>
        <w:outlineLvl w:val="1"/>
        <w:rPr>
          <w:rFonts w:hint="eastAsia" w:ascii="楷体_GB2312" w:hAnsi="楷体_GB2312" w:eastAsia="楷体_GB2312" w:cs="楷体_GB2312"/>
          <w:color w:val="auto"/>
          <w:spacing w:val="6"/>
          <w:kern w:val="2"/>
          <w:sz w:val="30"/>
          <w:szCs w:val="30"/>
          <w:highlight w:val="none"/>
          <w:lang w:val="en-US" w:eastAsia="zh-CN" w:bidi="ar-SA"/>
        </w:rPr>
      </w:pPr>
      <w:bookmarkStart w:id="914" w:name="_Toc6462"/>
      <w:bookmarkStart w:id="915" w:name="_Toc5224"/>
      <w:bookmarkStart w:id="916" w:name="_Toc29135"/>
      <w:bookmarkStart w:id="917" w:name="_Toc23096"/>
      <w:bookmarkStart w:id="918" w:name="_Toc15201"/>
      <w:bookmarkStart w:id="919" w:name="_Toc27557"/>
      <w:bookmarkStart w:id="920" w:name="_Toc21203"/>
      <w:bookmarkStart w:id="921" w:name="_Toc32250"/>
      <w:bookmarkStart w:id="922" w:name="_Toc15252"/>
      <w:bookmarkStart w:id="923" w:name="_Toc6726"/>
      <w:bookmarkStart w:id="924" w:name="_Toc1371679880"/>
      <w:bookmarkStart w:id="925" w:name="_Toc5644"/>
      <w:bookmarkStart w:id="926" w:name="_Toc24135"/>
      <w:bookmarkStart w:id="927" w:name="_Toc5387"/>
      <w:bookmarkStart w:id="928" w:name="_Toc5130"/>
      <w:bookmarkStart w:id="929" w:name="_Toc1333023004"/>
      <w:bookmarkStart w:id="930" w:name="_Toc3959"/>
      <w:bookmarkStart w:id="931" w:name="_Toc32074"/>
      <w:bookmarkStart w:id="932" w:name="_Toc32329"/>
      <w:bookmarkStart w:id="933" w:name="_Toc4583"/>
      <w:bookmarkStart w:id="934" w:name="_Toc26031"/>
      <w:bookmarkStart w:id="935" w:name="_Toc12580"/>
      <w:bookmarkStart w:id="936" w:name="_Toc10473"/>
      <w:bookmarkStart w:id="937" w:name="_Toc14955"/>
      <w:r>
        <w:rPr>
          <w:rFonts w:hint="eastAsia" w:ascii="楷体_GB2312" w:hAnsi="楷体_GB2312" w:eastAsia="楷体_GB2312" w:cs="楷体_GB2312"/>
          <w:color w:val="auto"/>
          <w:spacing w:val="6"/>
          <w:kern w:val="2"/>
          <w:sz w:val="30"/>
          <w:szCs w:val="30"/>
          <w:highlight w:val="none"/>
          <w:lang w:val="en-US" w:eastAsia="zh-CN" w:bidi="ar-SA"/>
        </w:rPr>
        <w:t>（二十八）强化信息化基础设施建设</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Fonts w:hint="eastAsia" w:ascii="楷体_GB2312" w:hAnsi="楷体_GB2312" w:eastAsia="楷体_GB2312" w:cs="楷体_GB2312"/>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扩容医保信息平台底层算力，构建集约化的算力支撑体系。强化医保信息基础设施和安全保障体系建设，健全运维管理和应急处置机制，健全数据备份和灾难恢复体系，提高并发响应和灾备能力，保障医保信息平台安全平稳运行。严格遵循数据安全、网络安全相关法律法规，实施数据分级分类管理，落实数据安全与隐私保护责任，建立覆盖数据全生命周期的安全防护与权限管理体系，确保医保数据依法合规、合理有效使用。严格落实网络安全、数据安全责任制，将安全防护贯穿信息化建设全流程。</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578" w:lineRule="exact"/>
        <w:ind w:left="0" w:leftChars="0" w:firstLine="624" w:firstLineChars="200"/>
        <w:jc w:val="both"/>
        <w:textAlignment w:val="auto"/>
        <w:outlineLvl w:val="1"/>
        <w:rPr>
          <w:rFonts w:hint="eastAsia" w:ascii="楷体_GB2312" w:hAnsi="楷体_GB2312" w:eastAsia="楷体_GB2312" w:cs="楷体_GB2312"/>
          <w:color w:val="auto"/>
          <w:spacing w:val="6"/>
          <w:kern w:val="2"/>
          <w:sz w:val="30"/>
          <w:szCs w:val="30"/>
          <w:highlight w:val="none"/>
          <w:lang w:val="en-US" w:eastAsia="zh-CN" w:bidi="ar-SA"/>
        </w:rPr>
      </w:pPr>
      <w:bookmarkStart w:id="938" w:name="_Toc10092"/>
      <w:bookmarkStart w:id="939" w:name="_Toc105"/>
      <w:bookmarkStart w:id="940" w:name="_Toc28252"/>
      <w:bookmarkStart w:id="941" w:name="_Toc26450"/>
      <w:bookmarkStart w:id="942" w:name="_Toc24147"/>
      <w:bookmarkStart w:id="943" w:name="_Toc19891"/>
      <w:bookmarkStart w:id="944" w:name="_Toc832056558"/>
      <w:bookmarkStart w:id="945" w:name="_Toc19279"/>
      <w:bookmarkStart w:id="946" w:name="_Toc9943"/>
      <w:bookmarkStart w:id="947" w:name="_Toc1300"/>
      <w:bookmarkStart w:id="948" w:name="_Toc28432"/>
      <w:bookmarkStart w:id="949" w:name="_Toc29844"/>
      <w:bookmarkStart w:id="950" w:name="_Toc1659"/>
      <w:bookmarkStart w:id="951" w:name="_Toc4347"/>
      <w:bookmarkStart w:id="952" w:name="_Toc22406"/>
      <w:bookmarkStart w:id="953" w:name="_Toc15561"/>
      <w:bookmarkStart w:id="954" w:name="_Toc77910772"/>
      <w:bookmarkStart w:id="955" w:name="_Toc5553"/>
      <w:bookmarkStart w:id="956" w:name="_Toc19906"/>
      <w:bookmarkStart w:id="957" w:name="_Toc6642"/>
      <w:bookmarkStart w:id="958" w:name="_Toc19495"/>
      <w:bookmarkStart w:id="959" w:name="_Toc17739"/>
      <w:bookmarkStart w:id="960" w:name="_Toc25974"/>
      <w:bookmarkStart w:id="961" w:name="_Toc32362"/>
      <w:r>
        <w:rPr>
          <w:rFonts w:hint="eastAsia" w:ascii="楷体_GB2312" w:hAnsi="楷体_GB2312" w:eastAsia="楷体_GB2312" w:cs="楷体_GB2312"/>
          <w:color w:val="auto"/>
          <w:spacing w:val="6"/>
          <w:kern w:val="2"/>
          <w:sz w:val="30"/>
          <w:szCs w:val="30"/>
          <w:highlight w:val="none"/>
          <w:lang w:val="en-US" w:eastAsia="zh-CN" w:bidi="ar-SA"/>
        </w:rPr>
        <w:t>（二十九）深化数据赋能与共享应用</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Fonts w:hint="eastAsia" w:ascii="楷体_GB2312" w:hAnsi="楷体_GB2312" w:eastAsia="楷体_GB2312" w:cs="楷体_GB2312"/>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发挥“一个数据基座”支撑作用，汇聚融合各业务系统数据，强化医保数据中台核心能力。通过“一人一档”“一院一档”“一店一档”，构建参保人、医院、医师、药耗、病种等多维画像。归集全民全生命周期健康信息，形成以人为单元、以物为单元、以资金为单元、以规则为单元的融合型信息。实现医保业务、财务管理与银行业务数据的实时同步与闭环管理，构建“省级－市（县）”基金动态风险预警和基金使用全流程溯源体系。建立健全医保数据成果分类分级共享机制，建设数据发布专区，统一数据口径，提升数据赋能业务决策能力。</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1"/>
        <w:rPr>
          <w:rFonts w:hint="eastAsia" w:ascii="楷体_GB2312" w:hAnsi="楷体_GB2312" w:eastAsia="楷体_GB2312" w:cs="楷体_GB2312"/>
          <w:color w:val="auto"/>
          <w:spacing w:val="6"/>
          <w:sz w:val="30"/>
          <w:szCs w:val="30"/>
          <w:highlight w:val="none"/>
          <w:lang w:val="en-US" w:eastAsia="zh-CN"/>
        </w:rPr>
      </w:pPr>
      <w:bookmarkStart w:id="962" w:name="_Toc18032"/>
      <w:bookmarkStart w:id="963" w:name="_Toc30852"/>
      <w:bookmarkStart w:id="964" w:name="_Toc23773"/>
      <w:bookmarkStart w:id="965" w:name="_Toc10390"/>
      <w:bookmarkStart w:id="966" w:name="_Toc7873"/>
      <w:bookmarkStart w:id="967" w:name="_Toc4080"/>
      <w:bookmarkStart w:id="968" w:name="_Toc10677"/>
      <w:bookmarkStart w:id="969" w:name="_Toc5588"/>
      <w:bookmarkStart w:id="970" w:name="_Toc27155"/>
      <w:bookmarkStart w:id="971" w:name="_Toc30940"/>
      <w:bookmarkStart w:id="972" w:name="_Toc19309"/>
      <w:bookmarkStart w:id="973" w:name="_Toc24727"/>
      <w:bookmarkStart w:id="974" w:name="_Toc29010"/>
      <w:bookmarkStart w:id="975" w:name="_Toc2601"/>
      <w:r>
        <w:rPr>
          <w:rFonts w:hint="eastAsia" w:ascii="楷体_GB2312" w:hAnsi="楷体_GB2312" w:eastAsia="楷体_GB2312" w:cs="楷体_GB2312"/>
          <w:color w:val="auto"/>
          <w:spacing w:val="6"/>
          <w:sz w:val="30"/>
          <w:szCs w:val="30"/>
          <w:highlight w:val="none"/>
          <w:lang w:eastAsia="zh-CN"/>
        </w:rPr>
        <w:t>（</w:t>
      </w:r>
      <w:r>
        <w:rPr>
          <w:rFonts w:hint="eastAsia" w:ascii="楷体_GB2312" w:hAnsi="楷体_GB2312" w:eastAsia="楷体_GB2312" w:cs="楷体_GB2312"/>
          <w:color w:val="auto"/>
          <w:spacing w:val="6"/>
          <w:sz w:val="30"/>
          <w:szCs w:val="30"/>
          <w:highlight w:val="none"/>
          <w:lang w:val="en-US" w:eastAsia="zh-CN"/>
        </w:rPr>
        <w:t>三十</w:t>
      </w:r>
      <w:r>
        <w:rPr>
          <w:rFonts w:hint="eastAsia" w:ascii="楷体_GB2312" w:hAnsi="楷体_GB2312" w:eastAsia="楷体_GB2312" w:cs="楷体_GB2312"/>
          <w:color w:val="auto"/>
          <w:spacing w:val="6"/>
          <w:sz w:val="30"/>
          <w:szCs w:val="30"/>
          <w:highlight w:val="none"/>
          <w:lang w:eastAsia="zh-CN"/>
        </w:rPr>
        <w:t>）</w:t>
      </w:r>
      <w:r>
        <w:rPr>
          <w:rFonts w:hint="eastAsia" w:ascii="楷体_GB2312" w:hAnsi="楷体_GB2312" w:eastAsia="楷体_GB2312" w:cs="楷体_GB2312"/>
          <w:color w:val="auto"/>
          <w:spacing w:val="6"/>
          <w:sz w:val="30"/>
          <w:szCs w:val="30"/>
          <w:highlight w:val="none"/>
          <w:lang w:val="en-US" w:eastAsia="zh-CN"/>
        </w:rPr>
        <w:t>拓展行权数字化场景</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r>
        <w:rPr>
          <w:rFonts w:hint="eastAsia" w:ascii="楷体_GB2312" w:hAnsi="楷体_GB2312" w:eastAsia="楷体_GB2312" w:cs="楷体_GB2312"/>
          <w:color w:val="auto"/>
          <w:spacing w:val="6"/>
          <w:sz w:val="30"/>
          <w:szCs w:val="30"/>
          <w:highlight w:val="none"/>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推动“两定机构”申报、医保基金监管、医保目录准入评审、医保支付标准核定等高频行权事项纳入数字化行权场景管理，全过程留痕可追溯，逐步实现“清单之外无权力、平台之外无审批”。建立权力运行内控与预警机制，让规则透明、程序公开、监督在线，以数字化刚性约束压缩自由裁量空间，从源头防范廉政风险。</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5000" w:type="pct"/>
            <w:shd w:val="clear" w:color="auto" w:fill="D7D7D7"/>
            <w:noWrap w:val="0"/>
            <w:tcMar>
              <w:top w:w="60" w:type="dxa"/>
              <w:left w:w="120" w:type="dxa"/>
              <w:bottom w:w="30" w:type="dxa"/>
              <w:right w:w="120" w:type="dxa"/>
            </w:tcMar>
            <w:vAlign w:val="center"/>
          </w:tcPr>
          <w:p>
            <w:pPr>
              <w:keepNext w:val="0"/>
              <w:keepLines w:val="0"/>
              <w:pageBreakBefore w:val="0"/>
              <w:widowControl w:val="0"/>
              <w:kinsoku/>
              <w:wordWrap/>
              <w:overflowPunct w:val="0"/>
              <w:topLinePunct w:val="0"/>
              <w:autoSpaceDE/>
              <w:autoSpaceDN/>
              <w:bidi w:val="0"/>
              <w:adjustRightInd w:val="0"/>
              <w:snapToGrid w:val="0"/>
              <w:spacing w:line="400" w:lineRule="exact"/>
              <w:jc w:val="center"/>
              <w:textAlignment w:val="auto"/>
              <w:rPr>
                <w:rFonts w:hint="default" w:ascii="Times New Roman" w:hAnsi="Times New Roman" w:eastAsia="黑体" w:cs="Times New Roman"/>
                <w:b w:val="0"/>
                <w:bCs w:val="0"/>
                <w:color w:val="auto"/>
                <w:spacing w:val="0"/>
                <w:sz w:val="28"/>
                <w:szCs w:val="28"/>
                <w:highlight w:val="none"/>
                <w:lang w:val="en-US" w:eastAsia="zh-CN"/>
              </w:rPr>
            </w:pPr>
            <w:r>
              <w:rPr>
                <w:rFonts w:hint="default" w:ascii="Times New Roman" w:hAnsi="Times New Roman" w:eastAsia="黑体" w:cs="Times New Roman"/>
                <w:b w:val="0"/>
                <w:bCs w:val="0"/>
                <w:color w:val="auto"/>
                <w:spacing w:val="0"/>
                <w:sz w:val="28"/>
                <w:szCs w:val="28"/>
                <w:highlight w:val="none"/>
                <w:lang w:val="en-US" w:eastAsia="zh-CN"/>
              </w:rPr>
              <w:t>重点任务4 实现医保数智化转型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trPr>
        <w:tc>
          <w:tcPr>
            <w:tcW w:w="5000" w:type="pct"/>
            <w:noWrap w:val="0"/>
            <w:tcMar>
              <w:top w:w="60" w:type="dxa"/>
              <w:left w:w="120" w:type="dxa"/>
              <w:bottom w:w="30" w:type="dxa"/>
              <w:right w:w="120" w:type="dxa"/>
            </w:tcMar>
            <w:vAlign w:val="center"/>
          </w:tcPr>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0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1.医保信息平台三期建设项目</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0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新建长护险管理等5个系统，升级智能监管等6个系统，补齐医保信息系统短板。</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0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2.AI智能监管体系建设项目</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0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新建AI驱动的医保监管知识库、规则库，打造</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一个核心底座+双引擎驱动+全链条多场景闭环监管</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AI智能监管体系。构建医保经办业务智能审核体系，实现经办业务全流程智能审核。</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0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3.智能医保经办服务项目</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0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面向经办服务领域，打造AI智能咨询、AI视频办、AI适老服务、AI基层赋能等应用，实现医保经办</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问策能答、问数能查、办事能成</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0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4.基金运行监测预警平台建设</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0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建设覆盖全省的医保基金运行监测预警平台，构建覆盖基金收支、使用、结余全流程的监测指标体系，实现基金运行态势动态掌握和风险预警实时推送，为完善省级统筹考核提供数据支撑。</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0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5.医保数据全域归集工程</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0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联动三医大数据中心，全面整合参保人员个人健康数据与医保业务数据，构建个人全生命周期健康档案，支撑</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个人医保云</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试点建设。</w:t>
            </w:r>
          </w:p>
        </w:tc>
      </w:tr>
    </w:tbl>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line="582" w:lineRule="exact"/>
        <w:ind w:left="0" w:leftChars="0" w:firstLine="624" w:firstLineChars="200"/>
        <w:jc w:val="both"/>
        <w:textAlignment w:val="auto"/>
        <w:outlineLvl w:val="0"/>
        <w:rPr>
          <w:rFonts w:hint="eastAsia" w:ascii="黑体" w:hAnsi="黑体" w:eastAsia="黑体" w:cs="黑体"/>
          <w:color w:val="auto"/>
          <w:spacing w:val="6"/>
          <w:sz w:val="30"/>
          <w:szCs w:val="30"/>
          <w:highlight w:val="none"/>
          <w:lang w:val="en-US" w:eastAsia="zh-CN"/>
        </w:rPr>
      </w:pPr>
      <w:bookmarkStart w:id="976" w:name="_Toc21287"/>
      <w:bookmarkStart w:id="977" w:name="_Toc11869"/>
      <w:bookmarkStart w:id="978" w:name="_Toc30833"/>
      <w:bookmarkStart w:id="979" w:name="_Toc32487"/>
      <w:bookmarkStart w:id="980" w:name="_Toc26337"/>
      <w:bookmarkStart w:id="981" w:name="_Toc6345"/>
      <w:bookmarkStart w:id="982" w:name="_Toc29506"/>
      <w:bookmarkStart w:id="983" w:name="_Toc18765"/>
      <w:bookmarkStart w:id="984" w:name="_Toc151828969"/>
      <w:bookmarkStart w:id="985" w:name="_Toc1830"/>
      <w:bookmarkStart w:id="986" w:name="_Toc4976"/>
      <w:bookmarkStart w:id="987" w:name="_Toc18952"/>
      <w:bookmarkStart w:id="988" w:name="_Toc24451"/>
      <w:bookmarkStart w:id="989" w:name="_Toc1438898197"/>
      <w:bookmarkStart w:id="990" w:name="_Toc1472"/>
      <w:bookmarkStart w:id="991" w:name="_Toc11466"/>
      <w:bookmarkStart w:id="992" w:name="_Toc9684"/>
      <w:bookmarkStart w:id="993" w:name="_Toc12618"/>
      <w:bookmarkStart w:id="994" w:name="_Toc11284"/>
      <w:bookmarkStart w:id="995" w:name="_Toc14926"/>
      <w:bookmarkStart w:id="996" w:name="_Toc21838"/>
      <w:bookmarkStart w:id="997" w:name="_Toc14688"/>
      <w:bookmarkStart w:id="998" w:name="_Toc4632"/>
      <w:bookmarkStart w:id="999" w:name="_Toc4781"/>
      <w:r>
        <w:rPr>
          <w:rFonts w:hint="eastAsia" w:ascii="黑体" w:hAnsi="黑体" w:eastAsia="黑体" w:cs="黑体"/>
          <w:color w:val="auto"/>
          <w:spacing w:val="6"/>
          <w:sz w:val="30"/>
          <w:szCs w:val="30"/>
          <w:highlight w:val="none"/>
          <w:lang w:val="en-US" w:eastAsia="zh-CN"/>
        </w:rPr>
        <w:t>八、优化医疗保障公共管理服务</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keepNext w:val="0"/>
        <w:keepLines w:val="0"/>
        <w:pageBreakBefore w:val="0"/>
        <w:widowControl w:val="0"/>
        <w:kinsoku/>
        <w:wordWrap/>
        <w:overflowPunct w:val="0"/>
        <w:topLinePunct w:val="0"/>
        <w:autoSpaceDE/>
        <w:autoSpaceDN/>
        <w:bidi w:val="0"/>
        <w:adjustRightInd w:val="0"/>
        <w:snapToGrid w:val="0"/>
        <w:spacing w:beforeLines="0" w:line="586"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坚持“全省一盘棋、全岛同城化”，以提升参保群众获得感为导向，完善经办服务体系，强化协议管理，构建与自由贸易港建设相适应的公平、法治、安全、智慧医保公共服务新格局。</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line="586" w:lineRule="exact"/>
        <w:ind w:left="0" w:leftChars="0" w:firstLine="624" w:firstLineChars="200"/>
        <w:jc w:val="both"/>
        <w:textAlignment w:val="auto"/>
        <w:outlineLvl w:val="1"/>
        <w:rPr>
          <w:rFonts w:hint="eastAsia" w:ascii="楷体_GB2312" w:hAnsi="楷体_GB2312" w:eastAsia="楷体_GB2312" w:cs="楷体_GB2312"/>
          <w:color w:val="auto"/>
          <w:spacing w:val="6"/>
          <w:kern w:val="2"/>
          <w:sz w:val="30"/>
          <w:szCs w:val="30"/>
          <w:highlight w:val="none"/>
          <w:lang w:val="en-US" w:eastAsia="zh-CN" w:bidi="ar-SA"/>
        </w:rPr>
      </w:pPr>
      <w:bookmarkStart w:id="1000" w:name="_Toc31360"/>
      <w:bookmarkStart w:id="1001" w:name="_Toc27185"/>
      <w:bookmarkStart w:id="1002" w:name="_Toc3297"/>
      <w:bookmarkStart w:id="1003" w:name="_Toc7387"/>
      <w:bookmarkStart w:id="1004" w:name="_Toc27151"/>
      <w:bookmarkStart w:id="1005" w:name="_Toc29633"/>
      <w:bookmarkStart w:id="1006" w:name="_Toc28675"/>
      <w:bookmarkStart w:id="1007" w:name="_Toc24437"/>
      <w:bookmarkStart w:id="1008" w:name="_Toc14407"/>
      <w:bookmarkStart w:id="1009" w:name="_Toc11207"/>
      <w:bookmarkStart w:id="1010" w:name="_Toc16356"/>
      <w:bookmarkStart w:id="1011" w:name="_Toc15011"/>
      <w:bookmarkStart w:id="1012" w:name="_Toc1026715914"/>
      <w:bookmarkStart w:id="1013" w:name="_Toc8338"/>
      <w:bookmarkStart w:id="1014" w:name="_Toc14640"/>
      <w:bookmarkStart w:id="1015" w:name="_Toc13638"/>
      <w:bookmarkStart w:id="1016" w:name="_Toc12284"/>
      <w:bookmarkStart w:id="1017" w:name="_Toc30146"/>
      <w:bookmarkStart w:id="1018" w:name="_Toc4927"/>
      <w:bookmarkStart w:id="1019" w:name="_Toc10057"/>
      <w:bookmarkStart w:id="1020" w:name="_Toc16400"/>
      <w:bookmarkStart w:id="1021" w:name="_Toc935900396"/>
      <w:bookmarkStart w:id="1022" w:name="_Toc26878"/>
      <w:bookmarkStart w:id="1023" w:name="_Toc22959"/>
      <w:r>
        <w:rPr>
          <w:rFonts w:hint="eastAsia" w:ascii="楷体_GB2312" w:hAnsi="楷体_GB2312" w:eastAsia="楷体_GB2312" w:cs="楷体_GB2312"/>
          <w:color w:val="auto"/>
          <w:spacing w:val="6"/>
          <w:kern w:val="2"/>
          <w:sz w:val="30"/>
          <w:szCs w:val="30"/>
          <w:highlight w:val="none"/>
          <w:lang w:val="en-US" w:eastAsia="zh-CN" w:bidi="ar-SA"/>
        </w:rPr>
        <w:t>（三十一）完善经办管理服务体系</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r>
        <w:rPr>
          <w:rFonts w:hint="eastAsia" w:ascii="楷体_GB2312" w:hAnsi="楷体_GB2312" w:eastAsia="楷体_GB2312" w:cs="楷体_GB2312"/>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beforeLines="0" w:line="570"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bookmarkStart w:id="1024" w:name="_Toc5674"/>
      <w:bookmarkStart w:id="1025" w:name="_Toc4706"/>
      <w:bookmarkStart w:id="1026" w:name="_Toc1551451115"/>
      <w:bookmarkStart w:id="1027" w:name="_Toc10803"/>
      <w:bookmarkStart w:id="1028" w:name="_Toc638176934"/>
      <w:bookmarkStart w:id="1029" w:name="_Toc30473"/>
      <w:bookmarkStart w:id="1030" w:name="_Toc3322"/>
      <w:bookmarkStart w:id="1031" w:name="_Toc11943"/>
      <w:bookmarkStart w:id="1032" w:name="_Toc23516"/>
      <w:bookmarkStart w:id="1033" w:name="_Toc9590"/>
      <w:r>
        <w:rPr>
          <w:rFonts w:hint="eastAsia" w:ascii="仿宋_GB2312" w:hAnsi="仿宋_GB2312" w:eastAsia="仿宋_GB2312" w:cs="仿宋_GB2312"/>
          <w:color w:val="auto"/>
          <w:spacing w:val="6"/>
          <w:sz w:val="30"/>
          <w:szCs w:val="30"/>
          <w:highlight w:val="none"/>
          <w:lang w:val="en-US" w:eastAsia="zh-CN"/>
        </w:rPr>
        <w:t>巩固深化社保医保“六险合一、一体经办”制度集成创新成果，逐步实现政策统一、标准统一、经办流程统一的“全省通办”。持续提升经办审核和核查能力，加强经办日常、专项、重点核查。强化经办智能审核体系建设，建立经办智能审核规则共建共享机制，创建经办多场景应用模型。完善省、市、县、乡镇（街道）、村（社区）医保经办服务网络，依法依规推动参保登记、异地就医备案等高频医保服务事项下沉乡镇（街道）、行政村（社区）。</w:t>
      </w:r>
      <w:r>
        <w:rPr>
          <w:rFonts w:hint="default" w:ascii="仿宋_GB2312" w:hAnsi="仿宋_GB2312" w:eastAsia="仿宋_GB2312" w:cs="仿宋_GB2312"/>
          <w:color w:val="auto"/>
          <w:spacing w:val="6"/>
          <w:sz w:val="30"/>
          <w:szCs w:val="30"/>
          <w:highlight w:val="none"/>
          <w:lang w:val="en-US" w:eastAsia="zh-CN"/>
        </w:rPr>
        <w:t>推进医保强基工作，发挥基层网格服务作用，支持在基层便民服务中心和定点医药机构设立医保服务站点</w:t>
      </w:r>
      <w:r>
        <w:rPr>
          <w:rFonts w:hint="eastAsia" w:ascii="仿宋_GB2312" w:hAnsi="仿宋_GB2312" w:eastAsia="仿宋_GB2312" w:cs="仿宋_GB2312"/>
          <w:color w:val="auto"/>
          <w:spacing w:val="6"/>
          <w:sz w:val="30"/>
          <w:szCs w:val="30"/>
          <w:highlight w:val="none"/>
          <w:lang w:val="en-US" w:eastAsia="zh-CN"/>
        </w:rPr>
        <w:t>，推动“就近办”提质增效。深化“医保+金融”互联互通互办，在长期护理保险、经办联合办公、“两定机构”稽核、意外伤害核查等方面与金融机构和商保机构开展合作。</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line="570" w:lineRule="exact"/>
        <w:ind w:left="0" w:leftChars="0" w:firstLine="624" w:firstLineChars="200"/>
        <w:jc w:val="both"/>
        <w:textAlignment w:val="auto"/>
        <w:outlineLvl w:val="1"/>
        <w:rPr>
          <w:rFonts w:hint="eastAsia" w:ascii="楷体_GB2312" w:hAnsi="楷体_GB2312" w:eastAsia="楷体_GB2312" w:cs="楷体_GB2312"/>
          <w:color w:val="auto"/>
          <w:spacing w:val="6"/>
          <w:kern w:val="2"/>
          <w:sz w:val="30"/>
          <w:szCs w:val="30"/>
          <w:highlight w:val="none"/>
          <w:lang w:val="en-US" w:eastAsia="zh-CN" w:bidi="ar-SA"/>
        </w:rPr>
      </w:pPr>
      <w:bookmarkStart w:id="1034" w:name="_Toc18307"/>
      <w:bookmarkStart w:id="1035" w:name="_Toc12547"/>
      <w:bookmarkStart w:id="1036" w:name="_Toc112"/>
      <w:bookmarkStart w:id="1037" w:name="_Toc5959"/>
      <w:bookmarkStart w:id="1038" w:name="_Toc10664"/>
      <w:bookmarkStart w:id="1039" w:name="_Toc27040"/>
      <w:bookmarkStart w:id="1040" w:name="_Toc24951"/>
      <w:bookmarkStart w:id="1041" w:name="_Toc4396"/>
      <w:bookmarkStart w:id="1042" w:name="_Toc20467"/>
      <w:bookmarkStart w:id="1043" w:name="_Toc12397"/>
      <w:bookmarkStart w:id="1044" w:name="_Toc13324"/>
      <w:bookmarkStart w:id="1045" w:name="_Toc23586"/>
      <w:bookmarkStart w:id="1046" w:name="_Toc12888"/>
      <w:bookmarkStart w:id="1047" w:name="_Toc1907"/>
      <w:r>
        <w:rPr>
          <w:rFonts w:hint="eastAsia" w:ascii="楷体_GB2312" w:hAnsi="楷体_GB2312" w:eastAsia="楷体_GB2312" w:cs="楷体_GB2312"/>
          <w:color w:val="auto"/>
          <w:spacing w:val="6"/>
          <w:kern w:val="2"/>
          <w:sz w:val="30"/>
          <w:szCs w:val="30"/>
          <w:highlight w:val="none"/>
          <w:lang w:val="en-US" w:eastAsia="zh-CN" w:bidi="ar-SA"/>
        </w:rPr>
        <w:t>（三十二）强化医保协议管理</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rFonts w:hint="eastAsia" w:ascii="楷体_GB2312" w:hAnsi="楷体_GB2312" w:eastAsia="楷体_GB2312" w:cs="楷体_GB2312"/>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beforeLines="0" w:line="570"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完善定点医药机构申请与协议管理，优化申请流程，缩短办理时限。将符合条件的乡镇卫生院等基层医疗机构纳入医保定点管理。推进协议管理电子化、信息化、智能化。制定医疗救助定点医疗机构准入流程，实施医疗救助定点医药机构协议管理，加强困难群众就医服务管理。健全定点医药机构退出机制，建立协议履行情况动态评估制度，强化考核结果应用。</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line="578" w:lineRule="exact"/>
        <w:ind w:left="0" w:leftChars="0" w:firstLine="624" w:firstLineChars="200"/>
        <w:jc w:val="both"/>
        <w:textAlignment w:val="auto"/>
        <w:outlineLvl w:val="1"/>
        <w:rPr>
          <w:rFonts w:hint="eastAsia" w:ascii="楷体_GB2312" w:hAnsi="楷体_GB2312" w:eastAsia="楷体_GB2312" w:cs="楷体_GB2312"/>
          <w:color w:val="auto"/>
          <w:spacing w:val="6"/>
          <w:kern w:val="2"/>
          <w:sz w:val="30"/>
          <w:szCs w:val="30"/>
          <w:highlight w:val="none"/>
          <w:lang w:val="en-US" w:eastAsia="zh-CN" w:bidi="ar-SA"/>
        </w:rPr>
      </w:pPr>
      <w:bookmarkStart w:id="1048" w:name="_Toc30334"/>
      <w:bookmarkStart w:id="1049" w:name="_Toc17811"/>
      <w:bookmarkStart w:id="1050" w:name="_Toc1947"/>
      <w:bookmarkStart w:id="1051" w:name="_Toc1441279794"/>
      <w:bookmarkStart w:id="1052" w:name="_Toc20293"/>
      <w:bookmarkStart w:id="1053" w:name="_Toc4447"/>
      <w:bookmarkStart w:id="1054" w:name="_Toc18292"/>
      <w:bookmarkStart w:id="1055" w:name="_Toc12477"/>
      <w:bookmarkStart w:id="1056" w:name="_Toc27654"/>
      <w:bookmarkStart w:id="1057" w:name="_Toc12962"/>
      <w:bookmarkStart w:id="1058" w:name="_Toc32508"/>
      <w:bookmarkStart w:id="1059" w:name="_Toc23680"/>
      <w:bookmarkStart w:id="1060" w:name="_Toc4286"/>
      <w:bookmarkStart w:id="1061" w:name="_Toc10368"/>
      <w:bookmarkStart w:id="1062" w:name="_Toc23146"/>
      <w:bookmarkStart w:id="1063" w:name="_Toc361830577"/>
      <w:bookmarkStart w:id="1064" w:name="_Toc19724"/>
      <w:bookmarkStart w:id="1065" w:name="_Toc24538"/>
      <w:bookmarkStart w:id="1066" w:name="_Toc29826"/>
      <w:bookmarkStart w:id="1067" w:name="_Toc4616"/>
      <w:bookmarkStart w:id="1068" w:name="_Toc31694"/>
      <w:bookmarkStart w:id="1069" w:name="_Toc1359"/>
      <w:bookmarkStart w:id="1070" w:name="_Toc8135"/>
      <w:bookmarkStart w:id="1071" w:name="_Toc5882"/>
      <w:r>
        <w:rPr>
          <w:rFonts w:hint="eastAsia" w:ascii="楷体_GB2312" w:hAnsi="楷体_GB2312" w:eastAsia="楷体_GB2312" w:cs="楷体_GB2312"/>
          <w:color w:val="auto"/>
          <w:spacing w:val="6"/>
          <w:kern w:val="2"/>
          <w:sz w:val="30"/>
          <w:szCs w:val="30"/>
          <w:highlight w:val="none"/>
          <w:lang w:val="en-US" w:eastAsia="zh-CN" w:bidi="ar-SA"/>
        </w:rPr>
        <w:t>（三十三）优化公共服务供给机制</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Pr>
          <w:rFonts w:hint="eastAsia" w:ascii="楷体_GB2312" w:hAnsi="楷体_GB2312" w:eastAsia="楷体_GB2312" w:cs="楷体_GB2312"/>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beforeLines="0" w:line="574"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深入推进医保领域“高效办成一件事”。加快推进刷脸支付、一码支付、移动支付、信用支付在各类场景的落地应用，建成医保便捷支付体系。动态更新医保服务事项清单和办事指南，推进医保业务全流程电子化，推动跨层级医保公共服务事项统一经办、业务协同和数据共享。针对老年人、行动不便者等特殊群体推出便民举措，试行线上指导、上门协助等个性化服务。优化“海南医保”APP/小程序功能，拓展“智能客服”等应用场景。优化升级异地就医服务，强化跨省异地就医备案的规范化、精细化管理，持续扩大跨省异地就医直接结算覆盖面，稳步推进住院、普通门诊、门诊慢特病跨省直接结算，建立健全异地就医结算监测制度。</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line="574" w:lineRule="exact"/>
        <w:ind w:left="0" w:leftChars="0" w:firstLine="624" w:firstLineChars="200"/>
        <w:jc w:val="both"/>
        <w:textAlignment w:val="auto"/>
        <w:outlineLvl w:val="1"/>
        <w:rPr>
          <w:rFonts w:hint="eastAsia" w:ascii="楷体_GB2312" w:hAnsi="楷体_GB2312" w:eastAsia="楷体_GB2312" w:cs="楷体_GB2312"/>
          <w:color w:val="auto"/>
          <w:spacing w:val="6"/>
          <w:kern w:val="2"/>
          <w:sz w:val="30"/>
          <w:szCs w:val="30"/>
          <w:highlight w:val="none"/>
          <w:lang w:val="en-US" w:eastAsia="zh-CN" w:bidi="ar-SA"/>
        </w:rPr>
      </w:pPr>
      <w:bookmarkStart w:id="1072" w:name="_Toc29779"/>
      <w:bookmarkStart w:id="1073" w:name="_Toc17879"/>
      <w:bookmarkStart w:id="1074" w:name="_Toc32057"/>
      <w:bookmarkStart w:id="1075" w:name="_Toc348025665"/>
      <w:bookmarkStart w:id="1076" w:name="_Toc24440"/>
      <w:bookmarkStart w:id="1077" w:name="_Toc19855"/>
      <w:bookmarkStart w:id="1078" w:name="_Toc10148"/>
      <w:bookmarkStart w:id="1079" w:name="_Toc20011"/>
      <w:bookmarkStart w:id="1080" w:name="_Toc22629"/>
      <w:bookmarkStart w:id="1081" w:name="_Toc7400"/>
      <w:bookmarkStart w:id="1082" w:name="_Toc31372"/>
      <w:bookmarkStart w:id="1083" w:name="_Toc8495"/>
      <w:bookmarkStart w:id="1084" w:name="_Toc27783"/>
      <w:bookmarkStart w:id="1085" w:name="_Toc27041"/>
      <w:bookmarkStart w:id="1086" w:name="_Toc17336"/>
      <w:bookmarkStart w:id="1087" w:name="_Toc20272"/>
      <w:bookmarkStart w:id="1088" w:name="_Toc30177"/>
      <w:bookmarkStart w:id="1089" w:name="_Toc11735"/>
      <w:bookmarkStart w:id="1090" w:name="_Toc21140"/>
      <w:bookmarkStart w:id="1091" w:name="_Toc5524"/>
      <w:bookmarkStart w:id="1092" w:name="_Toc2533"/>
      <w:bookmarkStart w:id="1093" w:name="_Toc930958948"/>
      <w:bookmarkStart w:id="1094" w:name="_Toc14621"/>
      <w:bookmarkStart w:id="1095" w:name="_Toc29930"/>
      <w:r>
        <w:rPr>
          <w:rFonts w:hint="eastAsia" w:ascii="楷体_GB2312" w:hAnsi="楷体_GB2312" w:eastAsia="楷体_GB2312" w:cs="楷体_GB2312"/>
          <w:color w:val="auto"/>
          <w:spacing w:val="6"/>
          <w:kern w:val="2"/>
          <w:sz w:val="30"/>
          <w:szCs w:val="30"/>
          <w:highlight w:val="none"/>
          <w:lang w:val="en-US" w:eastAsia="zh-CN" w:bidi="ar-SA"/>
        </w:rPr>
        <w:t>（三十四）构建国际化医疗保障服务体系</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r>
        <w:rPr>
          <w:rFonts w:hint="eastAsia" w:ascii="楷体_GB2312" w:hAnsi="楷体_GB2312" w:eastAsia="楷体_GB2312" w:cs="楷体_GB2312"/>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beforeLines="0" w:line="574"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落实外籍人员参保政策，优化参保登记、缴费、异地就医等经办流程，探索建立适应自贸港跨境人员流动需求的医保服务机制。在保障基本医疗服务的前提下，规范公立医疗机构特需医疗服务管理，探索特需医疗、国际医疗定价管理机制。依法依规支持“惠琼保”“乐城特药险”等普惠型商业医疗保险覆盖符合条件的在琼外籍人士。落实国家关于支持国际商业保险跨境结算的部署，稳妥有序扩大国际商业保险直接结算范围。鼓励保险机构开发适应外籍人士需求的跨境医疗保险产品，提升跨境就医结算便利度。在依法依规和保障数据安全的前提下，探索跨境医疗数据有序流动。</w:t>
      </w:r>
    </w:p>
    <w:p>
      <w:pPr>
        <w:pStyle w:val="5"/>
        <w:rPr>
          <w:rFonts w:hint="default"/>
          <w:color w:val="auto"/>
          <w:lang w:val="en-US" w:eastAsia="zh-CN"/>
        </w:rPr>
      </w:pP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26" w:hRule="atLeast"/>
        </w:trPr>
        <w:tc>
          <w:tcPr>
            <w:tcW w:w="5000" w:type="pct"/>
            <w:shd w:val="clear" w:color="auto" w:fill="D7D7D7"/>
            <w:noWrap w:val="0"/>
            <w:tcMar>
              <w:top w:w="60" w:type="dxa"/>
              <w:left w:w="120" w:type="dxa"/>
              <w:bottom w:w="30" w:type="dxa"/>
              <w:right w:w="120" w:type="dxa"/>
            </w:tcMar>
            <w:vAlign w:val="center"/>
          </w:tcPr>
          <w:p>
            <w:pPr>
              <w:keepNext w:val="0"/>
              <w:keepLines w:val="0"/>
              <w:pageBreakBefore w:val="0"/>
              <w:widowControl w:val="0"/>
              <w:kinsoku/>
              <w:wordWrap/>
              <w:overflowPunct w:val="0"/>
              <w:topLinePunct w:val="0"/>
              <w:autoSpaceDE/>
              <w:autoSpaceDN/>
              <w:bidi w:val="0"/>
              <w:adjustRightInd w:val="0"/>
              <w:snapToGrid w:val="0"/>
              <w:spacing w:line="400" w:lineRule="exact"/>
              <w:jc w:val="center"/>
              <w:textAlignment w:val="auto"/>
              <w:rPr>
                <w:rFonts w:hint="default" w:ascii="Times New Roman" w:hAnsi="Times New Roman" w:eastAsia="黑体" w:cs="Times New Roman"/>
                <w:b w:val="0"/>
                <w:bCs w:val="0"/>
                <w:color w:val="auto"/>
                <w:spacing w:val="0"/>
                <w:sz w:val="28"/>
                <w:szCs w:val="28"/>
                <w:highlight w:val="none"/>
                <w:lang w:val="en-US" w:eastAsia="zh-CN"/>
              </w:rPr>
            </w:pPr>
            <w:bookmarkStart w:id="1096" w:name="_Toc4611"/>
            <w:bookmarkStart w:id="1097" w:name="_Toc20741"/>
            <w:bookmarkStart w:id="1098" w:name="_Toc21594"/>
            <w:bookmarkStart w:id="1099" w:name="_Toc21590"/>
            <w:bookmarkStart w:id="1100" w:name="_Toc8410"/>
            <w:r>
              <w:rPr>
                <w:rFonts w:hint="default" w:ascii="Times New Roman" w:hAnsi="Times New Roman" w:eastAsia="黑体" w:cs="Times New Roman"/>
                <w:b w:val="0"/>
                <w:bCs w:val="0"/>
                <w:color w:val="auto"/>
                <w:spacing w:val="0"/>
                <w:sz w:val="28"/>
                <w:szCs w:val="28"/>
                <w:highlight w:val="none"/>
                <w:lang w:val="en-US" w:eastAsia="zh-CN"/>
              </w:rPr>
              <w:t>民生事项2 优化医保公共管理服务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trPr>
        <w:tc>
          <w:tcPr>
            <w:tcW w:w="5000" w:type="pct"/>
            <w:noWrap w:val="0"/>
            <w:tcMar>
              <w:top w:w="60" w:type="dxa"/>
              <w:left w:w="120" w:type="dxa"/>
              <w:bottom w:w="30" w:type="dxa"/>
              <w:right w:w="120" w:type="dxa"/>
            </w:tcMar>
            <w:vAlign w:val="center"/>
          </w:tcPr>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6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1.</w:t>
            </w:r>
            <w:r>
              <w:rPr>
                <w:rFonts w:hint="default" w:ascii="Times New Roman" w:hAnsi="Times New Roman" w:eastAsia="宋体" w:cs="Times New Roman"/>
                <w:color w:val="auto"/>
                <w:spacing w:val="0"/>
                <w:kern w:val="0"/>
                <w:sz w:val="24"/>
                <w:szCs w:val="24"/>
                <w:highlight w:val="none"/>
                <w:lang w:val="en-US" w:eastAsia="zh-CN" w:bidi="ar-SA"/>
              </w:rPr>
              <w:t>建成医保便捷支付体系</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60" w:lineRule="exact"/>
              <w:ind w:leftChars="0"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开展医保便捷支付试点，推进刷脸支付、一码支付、移动支付、信用支付在各类场景的落地应用，2028年全省覆盖。</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6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2.优化异地就医服务</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6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kern w:val="0"/>
                <w:sz w:val="24"/>
                <w:szCs w:val="24"/>
                <w:highlight w:val="none"/>
                <w:lang w:val="en-US" w:eastAsia="zh-CN" w:bidi="ar-SA"/>
              </w:rPr>
              <w:t>持续扩大跨省异地就医直接结算覆盖面，稳步推进住院、普通门诊、门诊慢特病跨省直接结算。</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6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3.建设国际化医疗保障服务体系</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after="0" w:line="360" w:lineRule="exact"/>
              <w:ind w:lef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落实外籍人员便利化服务政策，优化外籍人员参保、缴费、结算流程；发挥乐城先行区创新药械先行先试的政策优势，方便入境就医人群在中国使用全球药品。</w:t>
            </w:r>
          </w:p>
        </w:tc>
      </w:tr>
    </w:tbl>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line="570" w:lineRule="exact"/>
        <w:ind w:left="0" w:leftChars="0" w:firstLine="624" w:firstLineChars="200"/>
        <w:jc w:val="both"/>
        <w:textAlignment w:val="auto"/>
        <w:outlineLvl w:val="0"/>
        <w:rPr>
          <w:rFonts w:hint="eastAsia" w:ascii="黑体" w:hAnsi="黑体" w:eastAsia="黑体" w:cs="黑体"/>
          <w:color w:val="auto"/>
          <w:spacing w:val="6"/>
          <w:sz w:val="30"/>
          <w:szCs w:val="30"/>
          <w:highlight w:val="none"/>
          <w:lang w:val="en-US" w:eastAsia="zh-CN"/>
        </w:rPr>
      </w:pPr>
      <w:bookmarkStart w:id="1101" w:name="_Toc12303"/>
      <w:bookmarkStart w:id="1102" w:name="_Toc27136"/>
      <w:bookmarkStart w:id="1103" w:name="_Toc181"/>
      <w:bookmarkStart w:id="1104" w:name="_Toc21846"/>
      <w:bookmarkStart w:id="1105" w:name="_Toc1310"/>
      <w:bookmarkStart w:id="1106" w:name="_Toc7802"/>
      <w:bookmarkStart w:id="1107" w:name="_Toc26904"/>
      <w:bookmarkStart w:id="1108" w:name="_Toc15974"/>
      <w:bookmarkStart w:id="1109" w:name="_Toc22283"/>
      <w:bookmarkStart w:id="1110" w:name="_Toc1450"/>
      <w:bookmarkStart w:id="1111" w:name="_Toc10785"/>
      <w:bookmarkStart w:id="1112" w:name="_Toc31674"/>
      <w:bookmarkStart w:id="1113" w:name="_Toc2758"/>
      <w:bookmarkStart w:id="1114" w:name="_Toc15883"/>
      <w:r>
        <w:rPr>
          <w:rFonts w:hint="eastAsia" w:ascii="黑体" w:hAnsi="黑体" w:eastAsia="黑体" w:cs="黑体"/>
          <w:color w:val="auto"/>
          <w:spacing w:val="6"/>
          <w:sz w:val="30"/>
          <w:szCs w:val="30"/>
          <w:highlight w:val="none"/>
          <w:lang w:val="en-US" w:eastAsia="zh-CN"/>
        </w:rPr>
        <w:t>九、加强“三医”协同发展和治理</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keepNext w:val="0"/>
        <w:keepLines w:val="0"/>
        <w:pageBreakBefore w:val="0"/>
        <w:widowControl w:val="0"/>
        <w:kinsoku/>
        <w:wordWrap/>
        <w:overflowPunct w:val="0"/>
        <w:topLinePunct w:val="0"/>
        <w:autoSpaceDE/>
        <w:autoSpaceDN/>
        <w:bidi w:val="0"/>
        <w:adjustRightInd w:val="0"/>
        <w:snapToGrid w:val="0"/>
        <w:spacing w:beforeLines="0" w:line="570"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rPr>
        <w:t>发挥医保在“三医联动”改革中的引擎和杠杆作用，坚持医疗保障需求侧管理和医药服务供给侧改革并重，健全目标统一、政策衔接、信息联通、监管联动机制，让“三医”改革成果转化为人民</w:t>
      </w:r>
      <w:r>
        <w:rPr>
          <w:rFonts w:hint="eastAsia" w:ascii="仿宋_GB2312" w:hAnsi="仿宋_GB2312" w:eastAsia="仿宋_GB2312" w:cs="仿宋_GB2312"/>
          <w:color w:val="auto"/>
          <w:spacing w:val="6"/>
          <w:sz w:val="30"/>
          <w:szCs w:val="30"/>
          <w:highlight w:val="none"/>
          <w:lang w:eastAsia="zh-CN"/>
        </w:rPr>
        <w:t>群众</w:t>
      </w:r>
      <w:r>
        <w:rPr>
          <w:rFonts w:hint="eastAsia" w:ascii="仿宋_GB2312" w:hAnsi="仿宋_GB2312" w:eastAsia="仿宋_GB2312" w:cs="仿宋_GB2312"/>
          <w:color w:val="auto"/>
          <w:spacing w:val="6"/>
          <w:sz w:val="30"/>
          <w:szCs w:val="30"/>
          <w:highlight w:val="none"/>
        </w:rPr>
        <w:t>可感可及的健康福祉。</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line="570" w:lineRule="exact"/>
        <w:ind w:firstLine="624" w:firstLineChars="200"/>
        <w:jc w:val="both"/>
        <w:textAlignment w:val="auto"/>
        <w:outlineLvl w:val="1"/>
        <w:rPr>
          <w:rFonts w:hint="eastAsia" w:ascii="楷体_GB2312" w:hAnsi="楷体_GB2312" w:eastAsia="楷体_GB2312" w:cs="楷体_GB2312"/>
          <w:bCs/>
          <w:color w:val="auto"/>
          <w:spacing w:val="6"/>
          <w:kern w:val="2"/>
          <w:sz w:val="30"/>
          <w:szCs w:val="30"/>
          <w:highlight w:val="none"/>
          <w:lang w:val="en-US" w:eastAsia="zh-CN" w:bidi="ar-SA"/>
        </w:rPr>
      </w:pPr>
      <w:bookmarkStart w:id="1115" w:name="_Toc15651"/>
      <w:bookmarkStart w:id="1116" w:name="_Toc5321"/>
      <w:bookmarkStart w:id="1117" w:name="_Toc4277"/>
      <w:bookmarkStart w:id="1118" w:name="_Toc9186"/>
      <w:bookmarkStart w:id="1119" w:name="_Toc21052"/>
      <w:bookmarkStart w:id="1120" w:name="_Toc1409"/>
      <w:bookmarkStart w:id="1121" w:name="_Toc8596"/>
      <w:bookmarkStart w:id="1122" w:name="_Toc32007"/>
      <w:bookmarkStart w:id="1123" w:name="_Toc20794"/>
      <w:bookmarkStart w:id="1124" w:name="_Toc24853"/>
      <w:bookmarkStart w:id="1125" w:name="_Toc22342"/>
      <w:bookmarkStart w:id="1126" w:name="_Toc5877"/>
      <w:bookmarkStart w:id="1127" w:name="_Toc22067"/>
      <w:bookmarkStart w:id="1128" w:name="_Toc29403"/>
      <w:bookmarkStart w:id="1129" w:name="_Toc27929"/>
      <w:bookmarkStart w:id="1130" w:name="_Toc25376"/>
      <w:bookmarkStart w:id="1131" w:name="_Toc16019"/>
      <w:bookmarkStart w:id="1132" w:name="_Toc28041"/>
      <w:bookmarkStart w:id="1133" w:name="_Toc17891"/>
      <w:r>
        <w:rPr>
          <w:rFonts w:hint="eastAsia" w:ascii="楷体_GB2312" w:hAnsi="楷体_GB2312" w:eastAsia="楷体_GB2312" w:cs="楷体_GB2312"/>
          <w:bCs/>
          <w:color w:val="auto"/>
          <w:spacing w:val="6"/>
          <w:kern w:val="2"/>
          <w:sz w:val="30"/>
          <w:szCs w:val="30"/>
          <w:highlight w:val="none"/>
          <w:lang w:val="en-US" w:eastAsia="zh-CN" w:bidi="ar-SA"/>
        </w:rPr>
        <w:t>（三十五）健全协同治理与协商共治机制</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rPr>
          <w:rFonts w:hint="eastAsia" w:ascii="楷体_GB2312" w:hAnsi="楷体_GB2312" w:eastAsia="楷体_GB2312" w:cs="楷体_GB2312"/>
          <w:bCs/>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beforeLines="0" w:line="560"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rPr>
        <w:t>完善“三医”协同发展和治理会商机制，强化</w:t>
      </w:r>
      <w:r>
        <w:rPr>
          <w:rFonts w:hint="eastAsia" w:ascii="仿宋_GB2312" w:hAnsi="仿宋_GB2312" w:eastAsia="仿宋_GB2312" w:cs="仿宋_GB2312"/>
          <w:color w:val="auto"/>
          <w:spacing w:val="6"/>
          <w:sz w:val="30"/>
          <w:szCs w:val="30"/>
          <w:highlight w:val="none"/>
          <w:lang w:eastAsia="zh-CN"/>
        </w:rPr>
        <w:t>医疗保障</w:t>
      </w:r>
      <w:r>
        <w:rPr>
          <w:rFonts w:hint="eastAsia" w:ascii="仿宋_GB2312" w:hAnsi="仿宋_GB2312" w:eastAsia="仿宋_GB2312" w:cs="仿宋_GB2312"/>
          <w:color w:val="auto"/>
          <w:spacing w:val="6"/>
          <w:sz w:val="30"/>
          <w:szCs w:val="30"/>
          <w:highlight w:val="none"/>
        </w:rPr>
        <w:t>与</w:t>
      </w:r>
      <w:r>
        <w:rPr>
          <w:rFonts w:hint="eastAsia" w:ascii="仿宋_GB2312" w:hAnsi="仿宋_GB2312" w:eastAsia="仿宋_GB2312" w:cs="仿宋_GB2312"/>
          <w:color w:val="auto"/>
          <w:spacing w:val="6"/>
          <w:sz w:val="30"/>
          <w:szCs w:val="30"/>
          <w:highlight w:val="none"/>
          <w:lang w:eastAsia="zh-CN"/>
        </w:rPr>
        <w:t>卫生健康</w:t>
      </w:r>
      <w:r>
        <w:rPr>
          <w:rFonts w:hint="eastAsia" w:ascii="仿宋_GB2312" w:hAnsi="仿宋_GB2312" w:eastAsia="仿宋_GB2312" w:cs="仿宋_GB2312"/>
          <w:color w:val="auto"/>
          <w:spacing w:val="6"/>
          <w:sz w:val="30"/>
          <w:szCs w:val="30"/>
          <w:highlight w:val="none"/>
        </w:rPr>
        <w:t>、</w:t>
      </w:r>
      <w:r>
        <w:rPr>
          <w:rFonts w:hint="eastAsia" w:ascii="仿宋_GB2312" w:hAnsi="仿宋_GB2312" w:eastAsia="仿宋_GB2312" w:cs="仿宋_GB2312"/>
          <w:color w:val="auto"/>
          <w:spacing w:val="6"/>
          <w:sz w:val="30"/>
          <w:szCs w:val="30"/>
          <w:highlight w:val="none"/>
          <w:lang w:eastAsia="zh-CN"/>
        </w:rPr>
        <w:t>药品监管</w:t>
      </w:r>
      <w:r>
        <w:rPr>
          <w:rFonts w:hint="eastAsia" w:ascii="仿宋_GB2312" w:hAnsi="仿宋_GB2312" w:eastAsia="仿宋_GB2312" w:cs="仿宋_GB2312"/>
          <w:color w:val="auto"/>
          <w:spacing w:val="6"/>
          <w:sz w:val="30"/>
          <w:szCs w:val="30"/>
          <w:highlight w:val="none"/>
        </w:rPr>
        <w:t>等部门在政策制定、管理执行、监督评价</w:t>
      </w:r>
      <w:r>
        <w:rPr>
          <w:rFonts w:hint="eastAsia" w:ascii="仿宋_GB2312" w:hAnsi="仿宋_GB2312" w:eastAsia="仿宋_GB2312" w:cs="仿宋_GB2312"/>
          <w:color w:val="auto"/>
          <w:spacing w:val="6"/>
          <w:sz w:val="30"/>
          <w:szCs w:val="30"/>
          <w:highlight w:val="none"/>
          <w:lang w:eastAsia="zh-CN"/>
        </w:rPr>
        <w:t>等全过程的协商</w:t>
      </w:r>
      <w:r>
        <w:rPr>
          <w:rFonts w:hint="eastAsia" w:ascii="仿宋_GB2312" w:hAnsi="仿宋_GB2312" w:eastAsia="仿宋_GB2312" w:cs="仿宋_GB2312"/>
          <w:color w:val="auto"/>
          <w:spacing w:val="6"/>
          <w:sz w:val="30"/>
          <w:szCs w:val="30"/>
          <w:highlight w:val="none"/>
        </w:rPr>
        <w:t>共治。推动“三医联动一张网”</w:t>
      </w:r>
      <w:r>
        <w:rPr>
          <w:rFonts w:hint="eastAsia" w:ascii="仿宋_GB2312" w:hAnsi="仿宋_GB2312" w:eastAsia="仿宋_GB2312" w:cs="仿宋_GB2312"/>
          <w:color w:val="auto"/>
          <w:spacing w:val="6"/>
          <w:sz w:val="30"/>
          <w:szCs w:val="30"/>
          <w:highlight w:val="none"/>
          <w:lang w:eastAsia="zh-CN"/>
        </w:rPr>
        <w:t>深化应用</w:t>
      </w:r>
      <w:r>
        <w:rPr>
          <w:rFonts w:hint="eastAsia" w:ascii="仿宋_GB2312" w:hAnsi="仿宋_GB2312" w:eastAsia="仿宋_GB2312" w:cs="仿宋_GB2312"/>
          <w:color w:val="auto"/>
          <w:spacing w:val="6"/>
          <w:sz w:val="30"/>
          <w:szCs w:val="30"/>
          <w:highlight w:val="none"/>
        </w:rPr>
        <w:t>，探索构建</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三医</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协同数据资源体系，在落实</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原始数据不出域</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等规定的前提下，促进医疗、医保、医药数据标准化对接与有序共享。健全医疗保障部门与医院协会、医师协会、药师协会、药品上市许可持有人、药品生产流通企业等协商机制，构建多方利益协调新格局。</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line="578" w:lineRule="exact"/>
        <w:ind w:left="0" w:leftChars="0" w:firstLine="624" w:firstLineChars="200"/>
        <w:jc w:val="both"/>
        <w:textAlignment w:val="auto"/>
        <w:outlineLvl w:val="1"/>
        <w:rPr>
          <w:rFonts w:hint="eastAsia" w:ascii="楷体_GB2312" w:hAnsi="楷体_GB2312" w:eastAsia="楷体_GB2312" w:cs="楷体_GB2312"/>
          <w:bCs/>
          <w:color w:val="auto"/>
          <w:spacing w:val="6"/>
          <w:kern w:val="2"/>
          <w:sz w:val="30"/>
          <w:szCs w:val="30"/>
          <w:highlight w:val="none"/>
          <w:lang w:val="en-US" w:eastAsia="zh-CN" w:bidi="ar-SA"/>
        </w:rPr>
      </w:pPr>
      <w:bookmarkStart w:id="1134" w:name="_Toc32067"/>
      <w:bookmarkStart w:id="1135" w:name="_Toc18252"/>
      <w:bookmarkStart w:id="1136" w:name="_Toc6073"/>
      <w:bookmarkStart w:id="1137" w:name="_Toc9724"/>
      <w:bookmarkStart w:id="1138" w:name="_Toc25677"/>
      <w:bookmarkStart w:id="1139" w:name="_Toc5000"/>
      <w:bookmarkStart w:id="1140" w:name="_Toc8989"/>
      <w:bookmarkStart w:id="1141" w:name="_Toc13794"/>
      <w:bookmarkStart w:id="1142" w:name="_Toc1899"/>
      <w:bookmarkStart w:id="1143" w:name="_Toc31795"/>
      <w:bookmarkStart w:id="1144" w:name="_Toc15449"/>
      <w:bookmarkStart w:id="1145" w:name="_Toc6615"/>
      <w:bookmarkStart w:id="1146" w:name="_Toc24525"/>
      <w:bookmarkStart w:id="1147" w:name="_Toc32631"/>
      <w:bookmarkStart w:id="1148" w:name="_Toc25128"/>
      <w:bookmarkStart w:id="1149" w:name="_Toc22466"/>
      <w:bookmarkStart w:id="1150" w:name="_Toc5781"/>
      <w:bookmarkStart w:id="1151" w:name="_Toc24893"/>
      <w:bookmarkStart w:id="1152" w:name="_Toc24195"/>
      <w:r>
        <w:rPr>
          <w:rFonts w:hint="eastAsia" w:ascii="楷体_GB2312" w:hAnsi="楷体_GB2312" w:eastAsia="楷体_GB2312" w:cs="楷体_GB2312"/>
          <w:bCs/>
          <w:color w:val="auto"/>
          <w:spacing w:val="6"/>
          <w:kern w:val="2"/>
          <w:sz w:val="30"/>
          <w:szCs w:val="30"/>
          <w:highlight w:val="none"/>
          <w:lang w:val="en-US" w:eastAsia="zh-CN" w:bidi="ar-SA"/>
        </w:rPr>
        <w:t>（三十六）协同推动医疗服务体系供给侧改革</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Fonts w:hint="eastAsia" w:ascii="楷体_GB2312" w:hAnsi="楷体_GB2312" w:eastAsia="楷体_GB2312" w:cs="楷体_GB2312"/>
          <w:bCs/>
          <w:color w:val="auto"/>
          <w:spacing w:val="6"/>
          <w:kern w:val="2"/>
          <w:sz w:val="30"/>
          <w:szCs w:val="30"/>
          <w:highlight w:val="none"/>
          <w:lang w:val="en-US" w:eastAsia="zh-CN" w:bidi="ar-SA"/>
        </w:rPr>
        <w:t>。</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以整合型医疗卫生服务体系建设为抓手，推动医疗卫生机构落实功能定位，走内涵式发展道路。优化医疗卫生资源配置，严格控制全省医疗机构床位资源总量，调整优化床位结构。推动国家区域医疗中心和省级高水平医院提档升级，强化肿瘤、心脑血管等临床专科能力建设，加快实现“大病不出岛”目标。推动紧密型医联体深入发展，强化资源下沉和共享，做实做优家庭医生签约服务，实施医疗卫生强基工程，着力提升基层医疗服务水平，加快形成有序就医格局。健全中医药、精神卫生、康复护理服务体系，补齐医疗卫生短板。强化医疗机构等级评审和精益管理，不断提升医疗服务质量和安全。</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line="578" w:lineRule="exact"/>
        <w:ind w:left="0" w:leftChars="0" w:firstLine="624" w:firstLineChars="200"/>
        <w:jc w:val="both"/>
        <w:textAlignment w:val="auto"/>
        <w:outlineLvl w:val="1"/>
        <w:rPr>
          <w:rFonts w:hint="eastAsia" w:ascii="楷体_GB2312" w:hAnsi="楷体_GB2312" w:eastAsia="楷体_GB2312" w:cs="楷体_GB2312"/>
          <w:color w:val="auto"/>
          <w:spacing w:val="6"/>
          <w:sz w:val="30"/>
          <w:szCs w:val="30"/>
          <w:lang w:val="en-US" w:eastAsia="zh-CN"/>
        </w:rPr>
      </w:pPr>
      <w:bookmarkStart w:id="1153" w:name="_Toc5988"/>
      <w:bookmarkStart w:id="1154" w:name="_Toc32490"/>
      <w:bookmarkStart w:id="1155" w:name="_Toc24441"/>
      <w:bookmarkStart w:id="1156" w:name="_Toc11866"/>
      <w:bookmarkStart w:id="1157" w:name="_Toc27901"/>
      <w:bookmarkStart w:id="1158" w:name="_Toc28792"/>
      <w:bookmarkStart w:id="1159" w:name="_Toc14881"/>
      <w:bookmarkStart w:id="1160" w:name="_Toc15042"/>
      <w:bookmarkStart w:id="1161" w:name="_Toc27264"/>
      <w:bookmarkStart w:id="1162" w:name="_Toc22741"/>
      <w:bookmarkStart w:id="1163" w:name="_Toc26540"/>
      <w:bookmarkStart w:id="1164" w:name="_Toc17540"/>
      <w:bookmarkStart w:id="1165" w:name="_Toc7824"/>
      <w:bookmarkStart w:id="1166" w:name="_Toc23547"/>
      <w:bookmarkStart w:id="1167" w:name="_Toc15157"/>
      <w:bookmarkStart w:id="1168" w:name="_Toc20611"/>
      <w:bookmarkStart w:id="1169" w:name="_Toc14752"/>
      <w:bookmarkStart w:id="1170" w:name="_Toc13520"/>
      <w:bookmarkStart w:id="1171" w:name="_Toc13152"/>
      <w:r>
        <w:rPr>
          <w:rFonts w:hint="eastAsia" w:ascii="楷体_GB2312" w:hAnsi="楷体_GB2312" w:eastAsia="楷体_GB2312" w:cs="楷体_GB2312"/>
          <w:color w:val="auto"/>
          <w:spacing w:val="6"/>
          <w:sz w:val="30"/>
          <w:szCs w:val="30"/>
          <w:lang w:val="en-US" w:eastAsia="zh-CN"/>
        </w:rPr>
        <w:t>（三十七）协同推动药品供应保障体系供给侧改革</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r>
        <w:rPr>
          <w:rFonts w:hint="eastAsia" w:ascii="楷体_GB2312" w:hAnsi="楷体_GB2312" w:eastAsia="楷体_GB2312" w:cs="楷体_GB2312"/>
          <w:color w:val="auto"/>
          <w:spacing w:val="6"/>
          <w:sz w:val="30"/>
          <w:szCs w:val="30"/>
          <w:lang w:val="en-US"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落实我省支持生物医药产业高质量发展若干政策措施，加大创新药械研发力度，深化审评审批改革，加快创新产品转化应用。加强药品现代物流体系建设，健全短缺药品监测预警和分级应对体系。推进中药（含南药黎药）传承创新发展。持续完善医保与医药企业省级全域直接结算机制，保障医药企业货款结算效率。</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line="578" w:lineRule="exact"/>
        <w:ind w:left="0" w:leftChars="0" w:firstLine="624" w:firstLineChars="200"/>
        <w:jc w:val="both"/>
        <w:textAlignment w:val="auto"/>
        <w:outlineLvl w:val="0"/>
        <w:rPr>
          <w:rFonts w:hint="eastAsia" w:ascii="黑体" w:hAnsi="黑体" w:eastAsia="黑体" w:cs="黑体"/>
          <w:color w:val="auto"/>
          <w:spacing w:val="6"/>
          <w:sz w:val="30"/>
          <w:szCs w:val="30"/>
          <w:highlight w:val="none"/>
          <w:lang w:val="en-US" w:eastAsia="zh-CN"/>
        </w:rPr>
      </w:pPr>
      <w:bookmarkStart w:id="1172" w:name="_Toc8473"/>
      <w:bookmarkStart w:id="1173" w:name="_Toc7970"/>
      <w:bookmarkStart w:id="1174" w:name="_Toc31463"/>
      <w:bookmarkStart w:id="1175" w:name="_Toc4790"/>
      <w:bookmarkStart w:id="1176" w:name="_Toc3216"/>
      <w:bookmarkStart w:id="1177" w:name="_Toc535"/>
      <w:bookmarkStart w:id="1178" w:name="_Toc22460"/>
      <w:bookmarkStart w:id="1179" w:name="_Toc1317"/>
      <w:bookmarkStart w:id="1180" w:name="_Toc1086802384"/>
      <w:bookmarkStart w:id="1181" w:name="_Toc19946"/>
      <w:bookmarkStart w:id="1182" w:name="_Toc6341"/>
      <w:bookmarkStart w:id="1183" w:name="_Toc24490"/>
      <w:bookmarkStart w:id="1184" w:name="_Toc29158"/>
      <w:bookmarkStart w:id="1185" w:name="_Toc1703"/>
      <w:bookmarkStart w:id="1186" w:name="_Toc30004"/>
      <w:bookmarkStart w:id="1187" w:name="_Toc534"/>
      <w:bookmarkStart w:id="1188" w:name="_Toc10607"/>
      <w:bookmarkStart w:id="1189" w:name="_Toc17057"/>
      <w:bookmarkStart w:id="1190" w:name="_Toc13444"/>
      <w:bookmarkStart w:id="1191" w:name="_Toc328"/>
      <w:bookmarkStart w:id="1192" w:name="_Toc305296212"/>
      <w:bookmarkStart w:id="1193" w:name="_Toc8607"/>
      <w:bookmarkStart w:id="1194" w:name="_Toc14793"/>
      <w:bookmarkStart w:id="1195" w:name="_Toc9165"/>
      <w:r>
        <w:rPr>
          <w:rFonts w:hint="eastAsia" w:ascii="黑体" w:hAnsi="黑体" w:eastAsia="黑体" w:cs="黑体"/>
          <w:color w:val="auto"/>
          <w:spacing w:val="6"/>
          <w:sz w:val="30"/>
          <w:szCs w:val="30"/>
          <w:highlight w:val="none"/>
          <w:lang w:val="en-US" w:eastAsia="zh-CN"/>
        </w:rPr>
        <w:t>十、夯实发展基础</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坚持法治引领、标准统一、数据支撑、人才驱动，健全法治保障体系，深化标准化建设，提升统计支撑能力，加强医保人才队伍建设和宣传引导，为医保事业高质量发展筑牢根基。</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textAlignment w:val="auto"/>
        <w:outlineLvl w:val="1"/>
        <w:rPr>
          <w:rFonts w:hint="eastAsia" w:ascii="楷体_GB2312" w:hAnsi="楷体_GB2312" w:eastAsia="楷体_GB2312" w:cs="楷体_GB2312"/>
          <w:color w:val="auto"/>
          <w:spacing w:val="6"/>
          <w:sz w:val="30"/>
          <w:szCs w:val="30"/>
          <w:highlight w:val="none"/>
          <w:lang w:eastAsia="zh-CN"/>
        </w:rPr>
      </w:pPr>
      <w:bookmarkStart w:id="1196" w:name="_Toc5486"/>
      <w:bookmarkStart w:id="1197" w:name="_Toc885783906"/>
      <w:bookmarkStart w:id="1198" w:name="_Toc5265"/>
      <w:bookmarkStart w:id="1199" w:name="_Toc5185"/>
      <w:bookmarkStart w:id="1200" w:name="_Toc29548"/>
      <w:bookmarkStart w:id="1201" w:name="_Toc29214"/>
      <w:bookmarkStart w:id="1202" w:name="_Toc20807"/>
      <w:bookmarkStart w:id="1203" w:name="_Toc6447"/>
      <w:bookmarkStart w:id="1204" w:name="_Toc22665"/>
      <w:bookmarkStart w:id="1205" w:name="_Toc18951"/>
      <w:bookmarkStart w:id="1206" w:name="_Toc99335791"/>
      <w:bookmarkStart w:id="1207" w:name="_Toc4713"/>
      <w:bookmarkStart w:id="1208" w:name="_Toc28316"/>
      <w:bookmarkStart w:id="1209" w:name="_Toc3936"/>
      <w:bookmarkStart w:id="1210" w:name="_Toc1180"/>
      <w:bookmarkStart w:id="1211" w:name="_Toc28341"/>
      <w:bookmarkStart w:id="1212" w:name="_Toc10994"/>
      <w:bookmarkStart w:id="1213" w:name="_Toc18374"/>
      <w:bookmarkStart w:id="1214" w:name="_Toc2255"/>
      <w:bookmarkStart w:id="1215" w:name="_Toc15808"/>
      <w:bookmarkStart w:id="1216" w:name="_Toc16166"/>
      <w:bookmarkStart w:id="1217" w:name="_Toc22837"/>
      <w:bookmarkStart w:id="1218" w:name="_Toc16115"/>
      <w:bookmarkStart w:id="1219" w:name="_Toc3535"/>
      <w:r>
        <w:rPr>
          <w:rFonts w:hint="eastAsia" w:ascii="楷体_GB2312" w:hAnsi="楷体_GB2312" w:eastAsia="楷体_GB2312" w:cs="楷体_GB2312"/>
          <w:color w:val="auto"/>
          <w:spacing w:val="6"/>
          <w:sz w:val="30"/>
          <w:szCs w:val="30"/>
          <w:highlight w:val="none"/>
        </w:rPr>
        <w:t>（</w:t>
      </w:r>
      <w:r>
        <w:rPr>
          <w:rFonts w:hint="eastAsia" w:ascii="楷体_GB2312" w:hAnsi="楷体_GB2312" w:eastAsia="楷体_GB2312" w:cs="楷体_GB2312"/>
          <w:color w:val="auto"/>
          <w:spacing w:val="6"/>
          <w:sz w:val="30"/>
          <w:szCs w:val="30"/>
          <w:highlight w:val="none"/>
          <w:lang w:eastAsia="zh-CN"/>
        </w:rPr>
        <w:t>三十</w:t>
      </w:r>
      <w:r>
        <w:rPr>
          <w:rFonts w:hint="eastAsia" w:ascii="楷体_GB2312" w:hAnsi="楷体_GB2312" w:eastAsia="楷体_GB2312" w:cs="楷体_GB2312"/>
          <w:color w:val="auto"/>
          <w:spacing w:val="6"/>
          <w:sz w:val="30"/>
          <w:szCs w:val="30"/>
          <w:highlight w:val="none"/>
          <w:lang w:val="en-US" w:eastAsia="zh-CN"/>
        </w:rPr>
        <w:t>八</w:t>
      </w:r>
      <w:r>
        <w:rPr>
          <w:rFonts w:hint="eastAsia" w:ascii="楷体_GB2312" w:hAnsi="楷体_GB2312" w:eastAsia="楷体_GB2312" w:cs="楷体_GB2312"/>
          <w:color w:val="auto"/>
          <w:spacing w:val="6"/>
          <w:sz w:val="30"/>
          <w:szCs w:val="30"/>
          <w:highlight w:val="none"/>
        </w:rPr>
        <w:t>）健全法治保障体系</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rPr>
          <w:rFonts w:hint="eastAsia" w:ascii="楷体_GB2312" w:hAnsi="楷体_GB2312" w:eastAsia="楷体_GB2312" w:cs="楷体_GB2312"/>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结合省级统筹基金运行、待遇保障、支付方式改革和基金监管等制度实践，推动出台海南省医疗保障条例。</w:t>
      </w:r>
      <w:r>
        <w:rPr>
          <w:rFonts w:hint="eastAsia" w:ascii="仿宋_GB2312" w:hAnsi="仿宋_GB2312" w:eastAsia="仿宋_GB2312" w:cs="仿宋_GB2312"/>
          <w:color w:val="auto"/>
          <w:spacing w:val="6"/>
          <w:sz w:val="30"/>
          <w:szCs w:val="30"/>
          <w:highlight w:val="none"/>
        </w:rPr>
        <w:t>健全医保系统科学决策、民主决策、依法决策机制</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lang w:val="en-US" w:eastAsia="zh-CN"/>
        </w:rPr>
        <w:t>提升医保效能，以最低制度成本、最简服务流程、最优资源配置实现最大保障效能。深入推进医保领域依法行政，健全依法决策机制，规范重大行政决策程序，严格行政执法规范化管理。强化政策出台前的合法性审查和公平竞争审查，将依法行政贯穿医保工作全流程。</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textAlignment w:val="auto"/>
        <w:outlineLvl w:val="1"/>
        <w:rPr>
          <w:rFonts w:hint="eastAsia" w:ascii="楷体_GB2312" w:hAnsi="楷体_GB2312" w:eastAsia="楷体_GB2312" w:cs="楷体_GB2312"/>
          <w:color w:val="auto"/>
          <w:spacing w:val="6"/>
          <w:sz w:val="30"/>
          <w:szCs w:val="30"/>
          <w:highlight w:val="none"/>
          <w:lang w:eastAsia="zh-CN"/>
        </w:rPr>
      </w:pPr>
      <w:bookmarkStart w:id="1220" w:name="_Toc10252"/>
      <w:bookmarkStart w:id="1221" w:name="_Toc2739"/>
      <w:bookmarkStart w:id="1222" w:name="_Toc373558094"/>
      <w:bookmarkStart w:id="1223" w:name="_Toc17071"/>
      <w:bookmarkStart w:id="1224" w:name="_Toc15966"/>
      <w:bookmarkStart w:id="1225" w:name="_Toc16688"/>
      <w:bookmarkStart w:id="1226" w:name="_Toc19468"/>
      <w:bookmarkStart w:id="1227" w:name="_Toc20754"/>
      <w:bookmarkStart w:id="1228" w:name="_Toc9247"/>
      <w:bookmarkStart w:id="1229" w:name="_Toc17709"/>
      <w:bookmarkStart w:id="1230" w:name="_Toc15969"/>
      <w:bookmarkStart w:id="1231" w:name="_Toc22143"/>
      <w:bookmarkStart w:id="1232" w:name="_Toc28936"/>
      <w:bookmarkStart w:id="1233" w:name="_Toc18534"/>
      <w:bookmarkStart w:id="1234" w:name="_Toc132082066"/>
      <w:bookmarkStart w:id="1235" w:name="_Toc26377"/>
      <w:bookmarkStart w:id="1236" w:name="_Toc3487"/>
      <w:bookmarkStart w:id="1237" w:name="_Toc13226"/>
      <w:bookmarkStart w:id="1238" w:name="_Toc10442"/>
      <w:bookmarkStart w:id="1239" w:name="_Toc17393"/>
      <w:bookmarkStart w:id="1240" w:name="_Toc23470"/>
      <w:bookmarkStart w:id="1241" w:name="_Toc17576"/>
      <w:bookmarkStart w:id="1242" w:name="_Toc28759"/>
      <w:bookmarkStart w:id="1243" w:name="_Toc6362"/>
      <w:r>
        <w:rPr>
          <w:rFonts w:hint="eastAsia" w:ascii="楷体_GB2312" w:hAnsi="楷体_GB2312" w:eastAsia="楷体_GB2312" w:cs="楷体_GB2312"/>
          <w:color w:val="auto"/>
          <w:spacing w:val="6"/>
          <w:sz w:val="30"/>
          <w:szCs w:val="30"/>
          <w:highlight w:val="none"/>
        </w:rPr>
        <w:t>（</w:t>
      </w:r>
      <w:r>
        <w:rPr>
          <w:rFonts w:hint="eastAsia" w:ascii="楷体_GB2312" w:hAnsi="楷体_GB2312" w:eastAsia="楷体_GB2312" w:cs="楷体_GB2312"/>
          <w:color w:val="auto"/>
          <w:spacing w:val="6"/>
          <w:sz w:val="30"/>
          <w:szCs w:val="30"/>
          <w:highlight w:val="none"/>
          <w:lang w:val="en-US" w:eastAsia="zh-CN"/>
        </w:rPr>
        <w:t>三十九</w:t>
      </w:r>
      <w:r>
        <w:rPr>
          <w:rFonts w:hint="eastAsia" w:ascii="楷体_GB2312" w:hAnsi="楷体_GB2312" w:eastAsia="楷体_GB2312" w:cs="楷体_GB2312"/>
          <w:color w:val="auto"/>
          <w:spacing w:val="6"/>
          <w:sz w:val="30"/>
          <w:szCs w:val="30"/>
          <w:highlight w:val="none"/>
        </w:rPr>
        <w:t>）深化医保标准化建设</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rFonts w:hint="eastAsia" w:ascii="楷体_GB2312" w:hAnsi="楷体_GB2312" w:eastAsia="楷体_GB2312" w:cs="楷体_GB2312"/>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lang w:val="en-US" w:eastAsia="zh-CN"/>
        </w:rPr>
      </w:pPr>
      <w:r>
        <w:rPr>
          <w:rFonts w:hint="eastAsia" w:ascii="仿宋_GB2312" w:hAnsi="仿宋_GB2312" w:eastAsia="仿宋_GB2312" w:cs="仿宋_GB2312"/>
          <w:color w:val="auto"/>
          <w:spacing w:val="6"/>
          <w:sz w:val="30"/>
          <w:szCs w:val="30"/>
          <w:highlight w:val="none"/>
          <w:lang w:val="en-US" w:eastAsia="zh-CN"/>
        </w:rPr>
        <w:t>落实国家医疗保障标准化工作要求，制定完善本省医保标准化工作实施方案。健全医保标准化专家智库，加大标准应用培训力度，提高全系统标准化工作能力。持续推广医保标准应用，开展标准应用评估。动态更新经办管理规程，制定定点医药机构协议管理操作指南，明确各级经办机构职责边界。</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textAlignment w:val="auto"/>
        <w:outlineLvl w:val="1"/>
        <w:rPr>
          <w:rFonts w:hint="eastAsia" w:ascii="楷体_GB2312" w:hAnsi="楷体_GB2312" w:eastAsia="楷体_GB2312" w:cs="楷体_GB2312"/>
          <w:color w:val="auto"/>
          <w:spacing w:val="6"/>
          <w:sz w:val="30"/>
          <w:szCs w:val="30"/>
          <w:highlight w:val="none"/>
          <w:lang w:eastAsia="zh-CN"/>
        </w:rPr>
      </w:pPr>
      <w:bookmarkStart w:id="1244" w:name="_Toc10675"/>
      <w:bookmarkStart w:id="1245" w:name="_Toc8465"/>
      <w:bookmarkStart w:id="1246" w:name="_Toc27719"/>
      <w:bookmarkStart w:id="1247" w:name="_Toc17671"/>
      <w:bookmarkStart w:id="1248" w:name="_Toc545018236"/>
      <w:bookmarkStart w:id="1249" w:name="_Toc28500"/>
      <w:bookmarkStart w:id="1250" w:name="_Toc18381"/>
      <w:bookmarkStart w:id="1251" w:name="_Toc10489"/>
      <w:bookmarkStart w:id="1252" w:name="_Toc3460"/>
      <w:bookmarkStart w:id="1253" w:name="_Toc9667"/>
      <w:bookmarkStart w:id="1254" w:name="_Toc12146"/>
      <w:bookmarkStart w:id="1255" w:name="_Toc28749"/>
      <w:bookmarkStart w:id="1256" w:name="_Toc20911"/>
      <w:bookmarkStart w:id="1257" w:name="_Toc21521"/>
      <w:bookmarkStart w:id="1258" w:name="_Toc32765"/>
      <w:bookmarkStart w:id="1259" w:name="_Toc25527"/>
      <w:bookmarkStart w:id="1260" w:name="_Toc20689"/>
      <w:bookmarkStart w:id="1261" w:name="_Toc22910"/>
      <w:bookmarkStart w:id="1262" w:name="_Toc14260"/>
      <w:bookmarkStart w:id="1263" w:name="_Toc434163193"/>
      <w:bookmarkStart w:id="1264" w:name="_Toc9272"/>
      <w:bookmarkStart w:id="1265" w:name="_Toc22739"/>
      <w:bookmarkStart w:id="1266" w:name="_Toc7912"/>
      <w:bookmarkStart w:id="1267" w:name="_Toc15361"/>
      <w:r>
        <w:rPr>
          <w:rFonts w:hint="eastAsia" w:ascii="楷体_GB2312" w:hAnsi="楷体_GB2312" w:eastAsia="楷体_GB2312" w:cs="楷体_GB2312"/>
          <w:color w:val="auto"/>
          <w:spacing w:val="6"/>
          <w:sz w:val="30"/>
          <w:szCs w:val="30"/>
          <w:highlight w:val="none"/>
        </w:rPr>
        <w:t>（</w:t>
      </w:r>
      <w:r>
        <w:rPr>
          <w:rFonts w:hint="eastAsia" w:ascii="楷体_GB2312" w:hAnsi="楷体_GB2312" w:eastAsia="楷体_GB2312" w:cs="楷体_GB2312"/>
          <w:color w:val="auto"/>
          <w:spacing w:val="6"/>
          <w:sz w:val="30"/>
          <w:szCs w:val="30"/>
          <w:highlight w:val="none"/>
          <w:lang w:val="en-US" w:eastAsia="zh-CN"/>
        </w:rPr>
        <w:t>四十</w:t>
      </w:r>
      <w:r>
        <w:rPr>
          <w:rFonts w:hint="eastAsia" w:ascii="楷体_GB2312" w:hAnsi="楷体_GB2312" w:eastAsia="楷体_GB2312" w:cs="楷体_GB2312"/>
          <w:color w:val="auto"/>
          <w:spacing w:val="6"/>
          <w:sz w:val="30"/>
          <w:szCs w:val="30"/>
          <w:highlight w:val="none"/>
        </w:rPr>
        <w:t>）提高统计支撑能力</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Fonts w:hint="eastAsia" w:ascii="楷体_GB2312" w:hAnsi="楷体_GB2312" w:eastAsia="楷体_GB2312" w:cs="楷体_GB2312"/>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rPr>
        <w:t>落实医疗保障统计调查制度，规范全省数据采集、审核、核查，加强统计数据质量管理。推进医保统计与政策业务协同联动，建立健全统计部门和业务部门共同参与的数据联审、质量考核机制。完善医保制度运行统计监测分析体系，推动统计监测从简单汇总向深度分析转变。推动医保统计数据与卫生健康统计数据联动，促进</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三医</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协同决策。探索统计分析自动化、智能化，服务日常管理和科学决策。</w:t>
      </w:r>
    </w:p>
    <w:p>
      <w:pPr>
        <w:keepNext w:val="0"/>
        <w:keepLines w:val="0"/>
        <w:pageBreakBefore w:val="0"/>
        <w:widowControl w:val="0"/>
        <w:kinsoku/>
        <w:wordWrap/>
        <w:overflowPunct w:val="0"/>
        <w:topLinePunct w:val="0"/>
        <w:autoSpaceDE/>
        <w:autoSpaceDN/>
        <w:bidi w:val="0"/>
        <w:adjustRightInd w:val="0"/>
        <w:snapToGrid w:val="0"/>
        <w:spacing w:beforeLines="0" w:line="574" w:lineRule="exact"/>
        <w:ind w:firstLine="624" w:firstLineChars="200"/>
        <w:textAlignment w:val="auto"/>
        <w:outlineLvl w:val="1"/>
        <w:rPr>
          <w:rFonts w:hint="eastAsia" w:ascii="楷体_GB2312" w:hAnsi="楷体_GB2312" w:eastAsia="楷体_GB2312" w:cs="楷体_GB2312"/>
          <w:color w:val="auto"/>
          <w:spacing w:val="6"/>
          <w:sz w:val="30"/>
          <w:szCs w:val="30"/>
          <w:highlight w:val="none"/>
          <w:lang w:eastAsia="zh-CN"/>
        </w:rPr>
      </w:pPr>
      <w:bookmarkStart w:id="1268" w:name="_Toc8266"/>
      <w:bookmarkStart w:id="1269" w:name="_Toc3373"/>
      <w:bookmarkStart w:id="1270" w:name="_Toc19075"/>
      <w:bookmarkStart w:id="1271" w:name="_Toc6823"/>
      <w:bookmarkStart w:id="1272" w:name="_Toc2508"/>
      <w:bookmarkStart w:id="1273" w:name="_Toc26951"/>
      <w:bookmarkStart w:id="1274" w:name="_Toc19482"/>
      <w:bookmarkStart w:id="1275" w:name="_Toc30166"/>
      <w:bookmarkStart w:id="1276" w:name="_Toc9514"/>
      <w:bookmarkStart w:id="1277" w:name="_Toc22569"/>
      <w:bookmarkStart w:id="1278" w:name="_Toc32422"/>
      <w:bookmarkStart w:id="1279" w:name="_Toc6131"/>
      <w:bookmarkStart w:id="1280" w:name="_Toc24543"/>
      <w:bookmarkStart w:id="1281" w:name="_Toc21217"/>
      <w:r>
        <w:rPr>
          <w:rFonts w:hint="eastAsia" w:ascii="楷体_GB2312" w:hAnsi="楷体_GB2312" w:eastAsia="楷体_GB2312" w:cs="楷体_GB2312"/>
          <w:color w:val="auto"/>
          <w:spacing w:val="6"/>
          <w:sz w:val="30"/>
          <w:szCs w:val="30"/>
          <w:highlight w:val="none"/>
        </w:rPr>
        <w:t>（</w:t>
      </w:r>
      <w:r>
        <w:rPr>
          <w:rFonts w:hint="eastAsia" w:ascii="楷体_GB2312" w:hAnsi="楷体_GB2312" w:eastAsia="楷体_GB2312" w:cs="楷体_GB2312"/>
          <w:color w:val="auto"/>
          <w:spacing w:val="6"/>
          <w:sz w:val="30"/>
          <w:szCs w:val="30"/>
          <w:highlight w:val="none"/>
          <w:lang w:val="en-US" w:eastAsia="zh-CN"/>
        </w:rPr>
        <w:t>四十一</w:t>
      </w:r>
      <w:r>
        <w:rPr>
          <w:rFonts w:hint="eastAsia" w:ascii="楷体_GB2312" w:hAnsi="楷体_GB2312" w:eastAsia="楷体_GB2312" w:cs="楷体_GB2312"/>
          <w:color w:val="auto"/>
          <w:spacing w:val="6"/>
          <w:sz w:val="30"/>
          <w:szCs w:val="30"/>
          <w:highlight w:val="none"/>
        </w:rPr>
        <w:t>）加强医保人才队伍建设</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rPr>
          <w:rFonts w:hint="eastAsia" w:ascii="楷体_GB2312" w:hAnsi="楷体_GB2312" w:eastAsia="楷体_GB2312" w:cs="楷体_GB2312"/>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4"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rPr>
        <w:t>结合人才荟萃之岛建设，</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引育留用</w:t>
      </w:r>
      <w:r>
        <w:rPr>
          <w:rFonts w:hint="eastAsia" w:ascii="仿宋_GB2312" w:hAnsi="仿宋_GB2312" w:eastAsia="仿宋_GB2312" w:cs="仿宋_GB2312"/>
          <w:color w:val="auto"/>
          <w:spacing w:val="6"/>
          <w:sz w:val="30"/>
          <w:szCs w:val="30"/>
          <w:highlight w:val="none"/>
          <w:lang w:eastAsia="zh-CN"/>
        </w:rPr>
        <w:t>”</w:t>
      </w:r>
      <w:r>
        <w:rPr>
          <w:rFonts w:hint="eastAsia" w:ascii="仿宋_GB2312" w:hAnsi="仿宋_GB2312" w:eastAsia="仿宋_GB2312" w:cs="仿宋_GB2312"/>
          <w:color w:val="auto"/>
          <w:spacing w:val="6"/>
          <w:sz w:val="30"/>
          <w:szCs w:val="30"/>
          <w:highlight w:val="none"/>
        </w:rPr>
        <w:t>并举，吸引国内外专业技术人才，加大自主培养力度。将培训作为医保能力建设的重要内容，通过高校合作、在职培训、学术交流等方式，培养医保政策研究、经办管理、医保综合价值评价、大数据应用、人工智能等高水平专业人才。深化与科研院所、高等院校合作，加强医保高端智库建设。加强医保干部队伍政治建设和业务能力建设，完善干部教育培训体系。加强党风廉政建设，完善内控制度体系，从制度源头防范廉政风险，确保干部队伍清正廉洁、担当有为。</w:t>
      </w:r>
    </w:p>
    <w:p>
      <w:pPr>
        <w:keepNext w:val="0"/>
        <w:keepLines w:val="0"/>
        <w:pageBreakBefore w:val="0"/>
        <w:widowControl w:val="0"/>
        <w:kinsoku/>
        <w:wordWrap/>
        <w:overflowPunct w:val="0"/>
        <w:topLinePunct w:val="0"/>
        <w:autoSpaceDE/>
        <w:autoSpaceDN/>
        <w:bidi w:val="0"/>
        <w:adjustRightInd w:val="0"/>
        <w:snapToGrid w:val="0"/>
        <w:spacing w:beforeLines="0" w:line="574" w:lineRule="exact"/>
        <w:ind w:firstLine="624" w:firstLineChars="200"/>
        <w:textAlignment w:val="auto"/>
        <w:outlineLvl w:val="1"/>
        <w:rPr>
          <w:rFonts w:hint="eastAsia" w:ascii="楷体_GB2312" w:hAnsi="楷体_GB2312" w:eastAsia="楷体_GB2312" w:cs="楷体_GB2312"/>
          <w:color w:val="auto"/>
          <w:spacing w:val="6"/>
          <w:sz w:val="30"/>
          <w:szCs w:val="30"/>
          <w:highlight w:val="none"/>
          <w:lang w:eastAsia="zh-CN"/>
        </w:rPr>
      </w:pPr>
      <w:bookmarkStart w:id="1282" w:name="_Toc26847"/>
      <w:bookmarkStart w:id="1283" w:name="_Toc5971"/>
      <w:bookmarkStart w:id="1284" w:name="_Toc1294015725"/>
      <w:bookmarkStart w:id="1285" w:name="_Toc31787"/>
      <w:bookmarkStart w:id="1286" w:name="_Toc15418"/>
      <w:bookmarkStart w:id="1287" w:name="_Toc16220"/>
      <w:bookmarkStart w:id="1288" w:name="_Toc7899"/>
      <w:bookmarkStart w:id="1289" w:name="_Toc25873"/>
      <w:bookmarkStart w:id="1290" w:name="_Toc3134"/>
      <w:bookmarkStart w:id="1291" w:name="_Toc28304"/>
      <w:bookmarkStart w:id="1292" w:name="_Toc16917"/>
      <w:bookmarkStart w:id="1293" w:name="_Toc1830848372"/>
      <w:bookmarkStart w:id="1294" w:name="_Toc27047"/>
      <w:bookmarkStart w:id="1295" w:name="_Toc19030"/>
      <w:bookmarkStart w:id="1296" w:name="_Toc7240"/>
      <w:bookmarkStart w:id="1297" w:name="_Toc4366"/>
      <w:bookmarkStart w:id="1298" w:name="_Toc2775"/>
      <w:bookmarkStart w:id="1299" w:name="_Toc21172"/>
      <w:bookmarkStart w:id="1300" w:name="_Toc7624"/>
      <w:bookmarkStart w:id="1301" w:name="_Toc7253"/>
      <w:bookmarkStart w:id="1302" w:name="_Toc7364"/>
      <w:bookmarkStart w:id="1303" w:name="_Toc4910"/>
      <w:bookmarkStart w:id="1304" w:name="_Toc8785"/>
      <w:bookmarkStart w:id="1305" w:name="_Toc10561"/>
      <w:r>
        <w:rPr>
          <w:rFonts w:hint="eastAsia" w:ascii="楷体_GB2312" w:hAnsi="楷体_GB2312" w:eastAsia="楷体_GB2312" w:cs="楷体_GB2312"/>
          <w:color w:val="auto"/>
          <w:spacing w:val="6"/>
          <w:sz w:val="30"/>
          <w:szCs w:val="30"/>
          <w:highlight w:val="none"/>
        </w:rPr>
        <w:t>（</w:t>
      </w:r>
      <w:r>
        <w:rPr>
          <w:rFonts w:hint="eastAsia" w:ascii="楷体_GB2312" w:hAnsi="楷体_GB2312" w:eastAsia="楷体_GB2312" w:cs="楷体_GB2312"/>
          <w:color w:val="auto"/>
          <w:spacing w:val="6"/>
          <w:sz w:val="30"/>
          <w:szCs w:val="30"/>
          <w:highlight w:val="none"/>
          <w:lang w:val="en-US" w:eastAsia="zh-CN"/>
        </w:rPr>
        <w:t>四十二</w:t>
      </w:r>
      <w:r>
        <w:rPr>
          <w:rFonts w:hint="eastAsia" w:ascii="楷体_GB2312" w:hAnsi="楷体_GB2312" w:eastAsia="楷体_GB2312" w:cs="楷体_GB2312"/>
          <w:color w:val="auto"/>
          <w:spacing w:val="6"/>
          <w:sz w:val="30"/>
          <w:szCs w:val="30"/>
          <w:highlight w:val="none"/>
        </w:rPr>
        <w:t>）强化医保宣传引导</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Fonts w:hint="eastAsia" w:ascii="楷体_GB2312" w:hAnsi="楷体_GB2312" w:eastAsia="楷体_GB2312" w:cs="楷体_GB2312"/>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4"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rPr>
        <w:t>深化线上宣传平台建设，依托政务新媒体打造本土化宣传内容，聚焦群众关切，制作通俗易懂的政策解读。创新线下宣传场景，将宣传延伸至城乡社区、园区、景区等。引导商业保险机构、医疗机构、社区组织等共同开展政策宣讲，形成多方联动的宣传格局。建立多部门协同宣传机制，畅通12345热线、政务留言等互动渠道，及时回应社会关切。加强国际宣传推广，面向自贸港境内外从业人员、旅居人士等群体，多语种解读医保参保、异地结算等配套政策。</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val="0"/>
        <w:spacing w:before="0" w:beforeLines="0" w:after="0" w:line="574" w:lineRule="exact"/>
        <w:ind w:left="0" w:leftChars="0" w:firstLine="624" w:firstLineChars="200"/>
        <w:jc w:val="both"/>
        <w:textAlignment w:val="auto"/>
        <w:outlineLvl w:val="0"/>
        <w:rPr>
          <w:rFonts w:hint="eastAsia" w:ascii="黑体" w:hAnsi="黑体" w:eastAsia="黑体" w:cs="黑体"/>
          <w:color w:val="auto"/>
          <w:spacing w:val="6"/>
          <w:sz w:val="30"/>
          <w:szCs w:val="30"/>
          <w:highlight w:val="none"/>
          <w:lang w:val="en-US" w:eastAsia="zh-CN"/>
        </w:rPr>
      </w:pPr>
      <w:bookmarkStart w:id="1306" w:name="_Toc1380048354"/>
      <w:bookmarkStart w:id="1307" w:name="_Toc2093"/>
      <w:bookmarkStart w:id="1308" w:name="_Toc32441"/>
      <w:bookmarkStart w:id="1309" w:name="_Toc5577"/>
      <w:bookmarkStart w:id="1310" w:name="_Toc26050"/>
      <w:bookmarkStart w:id="1311" w:name="_Toc22061"/>
      <w:bookmarkStart w:id="1312" w:name="_Toc15051"/>
      <w:bookmarkStart w:id="1313" w:name="_Toc20031"/>
      <w:bookmarkStart w:id="1314" w:name="_Toc20525"/>
      <w:bookmarkStart w:id="1315" w:name="_Toc17156"/>
      <w:bookmarkStart w:id="1316" w:name="_Toc20388"/>
      <w:bookmarkStart w:id="1317" w:name="_Toc21453"/>
      <w:bookmarkStart w:id="1318" w:name="_Toc2045397924"/>
      <w:bookmarkStart w:id="1319" w:name="_Toc2195"/>
      <w:bookmarkStart w:id="1320" w:name="_Toc31162"/>
      <w:bookmarkStart w:id="1321" w:name="_Toc30731"/>
      <w:bookmarkStart w:id="1322" w:name="_Toc3006"/>
      <w:bookmarkStart w:id="1323" w:name="_Toc21507"/>
      <w:bookmarkStart w:id="1324" w:name="_Toc23780"/>
      <w:bookmarkStart w:id="1325" w:name="_Toc24689"/>
      <w:bookmarkStart w:id="1326" w:name="_Toc7097"/>
      <w:bookmarkStart w:id="1327" w:name="_Toc16538"/>
      <w:bookmarkStart w:id="1328" w:name="_Toc31151"/>
      <w:bookmarkStart w:id="1329" w:name="_Toc28132"/>
      <w:r>
        <w:rPr>
          <w:rFonts w:hint="eastAsia" w:ascii="黑体" w:hAnsi="黑体" w:eastAsia="黑体" w:cs="黑体"/>
          <w:color w:val="auto"/>
          <w:spacing w:val="6"/>
          <w:sz w:val="30"/>
          <w:szCs w:val="30"/>
          <w:highlight w:val="none"/>
          <w:lang w:val="en-US" w:eastAsia="zh-CN"/>
        </w:rPr>
        <w:t>十一、推进规划实施</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keepNext w:val="0"/>
        <w:keepLines w:val="0"/>
        <w:pageBreakBefore w:val="0"/>
        <w:widowControl w:val="0"/>
        <w:kinsoku/>
        <w:wordWrap/>
        <w:overflowPunct w:val="0"/>
        <w:topLinePunct w:val="0"/>
        <w:autoSpaceDE/>
        <w:autoSpaceDN/>
        <w:bidi w:val="0"/>
        <w:adjustRightInd w:val="0"/>
        <w:snapToGrid w:val="0"/>
        <w:spacing w:beforeLines="0" w:line="574"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rPr>
        <w:t>强化组织领导，完善部门协同，营造良好氛围，确保规划各项目标任务落地见效。</w:t>
      </w:r>
    </w:p>
    <w:p>
      <w:pPr>
        <w:keepNext w:val="0"/>
        <w:keepLines w:val="0"/>
        <w:pageBreakBefore w:val="0"/>
        <w:widowControl w:val="0"/>
        <w:kinsoku/>
        <w:wordWrap/>
        <w:overflowPunct w:val="0"/>
        <w:topLinePunct w:val="0"/>
        <w:autoSpaceDE/>
        <w:autoSpaceDN/>
        <w:bidi w:val="0"/>
        <w:adjustRightInd w:val="0"/>
        <w:snapToGrid w:val="0"/>
        <w:spacing w:beforeLines="0" w:line="574" w:lineRule="exact"/>
        <w:ind w:firstLine="624" w:firstLineChars="200"/>
        <w:textAlignment w:val="auto"/>
        <w:outlineLvl w:val="1"/>
        <w:rPr>
          <w:rFonts w:hint="eastAsia" w:ascii="楷体_GB2312" w:hAnsi="楷体_GB2312" w:eastAsia="楷体_GB2312" w:cs="楷体_GB2312"/>
          <w:color w:val="auto"/>
          <w:spacing w:val="6"/>
          <w:sz w:val="30"/>
          <w:szCs w:val="30"/>
          <w:highlight w:val="none"/>
          <w:lang w:eastAsia="zh-CN"/>
        </w:rPr>
      </w:pPr>
      <w:bookmarkStart w:id="1330" w:name="_Toc826253685"/>
      <w:bookmarkStart w:id="1331" w:name="_Toc30064"/>
      <w:bookmarkStart w:id="1332" w:name="_Toc14557"/>
      <w:bookmarkStart w:id="1333" w:name="_Toc26289"/>
      <w:bookmarkStart w:id="1334" w:name="_Toc9566"/>
      <w:bookmarkStart w:id="1335" w:name="_Toc28706"/>
      <w:bookmarkStart w:id="1336" w:name="_Toc6222"/>
      <w:bookmarkStart w:id="1337" w:name="_Toc1911"/>
      <w:bookmarkStart w:id="1338" w:name="_Toc206566140"/>
      <w:bookmarkStart w:id="1339" w:name="_Toc9774"/>
      <w:bookmarkStart w:id="1340" w:name="_Toc30539"/>
      <w:bookmarkStart w:id="1341" w:name="_Toc30872"/>
      <w:bookmarkStart w:id="1342" w:name="_Toc7057"/>
      <w:bookmarkStart w:id="1343" w:name="_Toc13112"/>
      <w:bookmarkStart w:id="1344" w:name="_Toc21728"/>
      <w:bookmarkStart w:id="1345" w:name="_Toc17769"/>
      <w:bookmarkStart w:id="1346" w:name="_Toc377"/>
      <w:bookmarkStart w:id="1347" w:name="_Toc11920"/>
      <w:bookmarkStart w:id="1348" w:name="_Toc12579"/>
      <w:bookmarkStart w:id="1349" w:name="_Toc11423"/>
      <w:bookmarkStart w:id="1350" w:name="_Toc18255"/>
      <w:bookmarkStart w:id="1351" w:name="_Toc15608"/>
      <w:bookmarkStart w:id="1352" w:name="_Toc29389"/>
      <w:bookmarkStart w:id="1353" w:name="_Toc31755"/>
      <w:r>
        <w:rPr>
          <w:rFonts w:hint="eastAsia" w:ascii="楷体_GB2312" w:hAnsi="楷体_GB2312" w:eastAsia="楷体_GB2312" w:cs="楷体_GB2312"/>
          <w:color w:val="auto"/>
          <w:spacing w:val="6"/>
          <w:sz w:val="30"/>
          <w:szCs w:val="30"/>
          <w:highlight w:val="none"/>
        </w:rPr>
        <w:t>（</w:t>
      </w:r>
      <w:r>
        <w:rPr>
          <w:rFonts w:hint="eastAsia" w:ascii="楷体_GB2312" w:hAnsi="楷体_GB2312" w:eastAsia="楷体_GB2312" w:cs="楷体_GB2312"/>
          <w:color w:val="auto"/>
          <w:spacing w:val="6"/>
          <w:sz w:val="30"/>
          <w:szCs w:val="30"/>
          <w:highlight w:val="none"/>
          <w:lang w:val="en-US" w:eastAsia="zh-CN"/>
        </w:rPr>
        <w:t>四十三</w:t>
      </w:r>
      <w:r>
        <w:rPr>
          <w:rFonts w:hint="eastAsia" w:ascii="楷体_GB2312" w:hAnsi="楷体_GB2312" w:eastAsia="楷体_GB2312" w:cs="楷体_GB2312"/>
          <w:color w:val="auto"/>
          <w:spacing w:val="6"/>
          <w:sz w:val="30"/>
          <w:szCs w:val="30"/>
          <w:highlight w:val="none"/>
        </w:rPr>
        <w:t>）加强组织领导</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rFonts w:hint="eastAsia" w:ascii="楷体_GB2312" w:hAnsi="楷体_GB2312" w:eastAsia="楷体_GB2312" w:cs="楷体_GB2312"/>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rPr>
        <w:t>坚持党对医疗保障事业发展的全面领导，确保规划实施的正确方向。坚持国家医保顶层设计，强化规划与国家和全省经济社会发展规划的衔接协调。健全责任落实机制，将医保制度改革作为重点工作推进，制定规划实施方案，明确任务分工和时间节点，确保各项任务落地见效。</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textAlignment w:val="auto"/>
        <w:outlineLvl w:val="1"/>
        <w:rPr>
          <w:rFonts w:hint="eastAsia" w:ascii="楷体_GB2312" w:hAnsi="楷体_GB2312" w:eastAsia="楷体_GB2312" w:cs="楷体_GB2312"/>
          <w:color w:val="auto"/>
          <w:spacing w:val="6"/>
          <w:sz w:val="30"/>
          <w:szCs w:val="30"/>
          <w:highlight w:val="none"/>
          <w:lang w:eastAsia="zh-CN"/>
        </w:rPr>
      </w:pPr>
      <w:bookmarkStart w:id="1354" w:name="_Toc1871"/>
      <w:bookmarkStart w:id="1355" w:name="_Toc11168"/>
      <w:bookmarkStart w:id="1356" w:name="_Toc23279"/>
      <w:bookmarkStart w:id="1357" w:name="_Toc25100"/>
      <w:bookmarkStart w:id="1358" w:name="_Toc29987"/>
      <w:bookmarkStart w:id="1359" w:name="_Toc25547"/>
      <w:bookmarkStart w:id="1360" w:name="_Toc22456"/>
      <w:bookmarkStart w:id="1361" w:name="_Toc49"/>
      <w:bookmarkStart w:id="1362" w:name="_Toc21056"/>
      <w:bookmarkStart w:id="1363" w:name="_Toc32516"/>
      <w:bookmarkStart w:id="1364" w:name="_Toc9312"/>
      <w:bookmarkStart w:id="1365" w:name="_Toc22549"/>
      <w:bookmarkStart w:id="1366" w:name="_Toc26538"/>
      <w:bookmarkStart w:id="1367" w:name="_Toc31788"/>
      <w:bookmarkStart w:id="1368" w:name="_Toc30406"/>
      <w:bookmarkStart w:id="1369" w:name="_Toc2046"/>
      <w:bookmarkStart w:id="1370" w:name="_Toc1371060194"/>
      <w:bookmarkStart w:id="1371" w:name="_Toc660385909"/>
      <w:bookmarkStart w:id="1372" w:name="_Toc7455"/>
      <w:bookmarkStart w:id="1373" w:name="_Toc24808"/>
      <w:bookmarkStart w:id="1374" w:name="_Toc32403"/>
      <w:bookmarkStart w:id="1375" w:name="_Toc23797"/>
      <w:bookmarkStart w:id="1376" w:name="_Toc18703"/>
      <w:bookmarkStart w:id="1377" w:name="_Toc22513"/>
      <w:r>
        <w:rPr>
          <w:rFonts w:hint="eastAsia" w:ascii="楷体_GB2312" w:hAnsi="楷体_GB2312" w:eastAsia="楷体_GB2312" w:cs="楷体_GB2312"/>
          <w:color w:val="auto"/>
          <w:spacing w:val="6"/>
          <w:sz w:val="30"/>
          <w:szCs w:val="30"/>
          <w:highlight w:val="none"/>
        </w:rPr>
        <w:t>（</w:t>
      </w:r>
      <w:r>
        <w:rPr>
          <w:rFonts w:hint="eastAsia" w:ascii="楷体_GB2312" w:hAnsi="楷体_GB2312" w:eastAsia="楷体_GB2312" w:cs="楷体_GB2312"/>
          <w:color w:val="auto"/>
          <w:spacing w:val="6"/>
          <w:sz w:val="30"/>
          <w:szCs w:val="30"/>
          <w:highlight w:val="none"/>
          <w:lang w:val="en-US" w:eastAsia="zh-CN"/>
        </w:rPr>
        <w:t>四十四</w:t>
      </w:r>
      <w:r>
        <w:rPr>
          <w:rFonts w:hint="eastAsia" w:ascii="楷体_GB2312" w:hAnsi="楷体_GB2312" w:eastAsia="楷体_GB2312" w:cs="楷体_GB2312"/>
          <w:color w:val="auto"/>
          <w:spacing w:val="6"/>
          <w:sz w:val="30"/>
          <w:szCs w:val="30"/>
          <w:highlight w:val="none"/>
        </w:rPr>
        <w:t>）强化部门协同机制</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Pr>
          <w:rFonts w:hint="eastAsia" w:ascii="楷体_GB2312" w:hAnsi="楷体_GB2312" w:eastAsia="楷体_GB2312" w:cs="楷体_GB2312"/>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highlight w:val="none"/>
        </w:rPr>
      </w:pPr>
      <w:r>
        <w:rPr>
          <w:rFonts w:hint="eastAsia" w:ascii="仿宋_GB2312" w:hAnsi="仿宋_GB2312" w:eastAsia="仿宋_GB2312" w:cs="仿宋_GB2312"/>
          <w:color w:val="auto"/>
          <w:spacing w:val="6"/>
          <w:sz w:val="30"/>
          <w:szCs w:val="30"/>
          <w:highlight w:val="none"/>
        </w:rPr>
        <w:t>建立部门协作联动机制，加强与网信、发展改革、财政、人力资源社会保障、卫生健康、公安、司法、民政、审计、市场监管、</w:t>
      </w:r>
      <w:r>
        <w:rPr>
          <w:rFonts w:hint="eastAsia" w:ascii="仿宋_GB2312" w:hAnsi="仿宋_GB2312" w:eastAsia="仿宋_GB2312" w:cs="仿宋_GB2312"/>
          <w:color w:val="auto"/>
          <w:spacing w:val="6"/>
          <w:sz w:val="30"/>
          <w:szCs w:val="30"/>
          <w:highlight w:val="none"/>
          <w:lang w:eastAsia="zh-CN"/>
        </w:rPr>
        <w:t>药品监管</w:t>
      </w:r>
      <w:r>
        <w:rPr>
          <w:rFonts w:hint="eastAsia" w:ascii="仿宋_GB2312" w:hAnsi="仿宋_GB2312" w:eastAsia="仿宋_GB2312" w:cs="仿宋_GB2312"/>
          <w:color w:val="auto"/>
          <w:spacing w:val="6"/>
          <w:sz w:val="30"/>
          <w:szCs w:val="30"/>
          <w:highlight w:val="none"/>
        </w:rPr>
        <w:t>、大数据、政务服务、税务等部门的沟通协调，实现信息互通共享。深化医保与商保公司合作，推动多层次医疗保障有序衔接。</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textAlignment w:val="auto"/>
        <w:outlineLvl w:val="1"/>
        <w:rPr>
          <w:rFonts w:hint="eastAsia" w:ascii="楷体_GB2312" w:hAnsi="楷体_GB2312" w:eastAsia="楷体_GB2312" w:cs="楷体_GB2312"/>
          <w:color w:val="auto"/>
          <w:spacing w:val="6"/>
          <w:sz w:val="30"/>
          <w:szCs w:val="30"/>
          <w:highlight w:val="none"/>
          <w:lang w:eastAsia="zh-CN"/>
        </w:rPr>
      </w:pPr>
      <w:bookmarkStart w:id="1378" w:name="_Toc11954"/>
      <w:bookmarkStart w:id="1379" w:name="_Toc23060"/>
      <w:bookmarkStart w:id="1380" w:name="_Toc8666"/>
      <w:bookmarkStart w:id="1381" w:name="_Toc8102"/>
      <w:bookmarkStart w:id="1382" w:name="_Toc9740"/>
      <w:bookmarkStart w:id="1383" w:name="_Toc31462"/>
      <w:bookmarkStart w:id="1384" w:name="_Toc6635"/>
      <w:bookmarkStart w:id="1385" w:name="_Toc8651"/>
      <w:bookmarkStart w:id="1386" w:name="_Toc30125"/>
      <w:bookmarkStart w:id="1387" w:name="_Toc25436"/>
      <w:bookmarkStart w:id="1388" w:name="_Toc8654"/>
      <w:bookmarkStart w:id="1389" w:name="_Toc144"/>
      <w:bookmarkStart w:id="1390" w:name="_Toc12010"/>
      <w:bookmarkStart w:id="1391" w:name="_Toc15903"/>
      <w:bookmarkStart w:id="1392" w:name="_Toc423480225"/>
      <w:bookmarkStart w:id="1393" w:name="_Toc20346"/>
      <w:bookmarkStart w:id="1394" w:name="_Toc18710"/>
      <w:bookmarkStart w:id="1395" w:name="_Toc31317"/>
      <w:bookmarkStart w:id="1396" w:name="_Toc3187"/>
      <w:bookmarkStart w:id="1397" w:name="_Toc1352043062"/>
      <w:bookmarkStart w:id="1398" w:name="_Toc2042"/>
      <w:bookmarkStart w:id="1399" w:name="_Toc2021"/>
      <w:bookmarkStart w:id="1400" w:name="_Toc8476"/>
      <w:bookmarkStart w:id="1401" w:name="_Toc4754"/>
      <w:r>
        <w:rPr>
          <w:rFonts w:hint="eastAsia" w:ascii="楷体_GB2312" w:hAnsi="楷体_GB2312" w:eastAsia="楷体_GB2312" w:cs="楷体_GB2312"/>
          <w:color w:val="auto"/>
          <w:spacing w:val="6"/>
          <w:sz w:val="30"/>
          <w:szCs w:val="30"/>
          <w:highlight w:val="none"/>
        </w:rPr>
        <w:t>（四十</w:t>
      </w:r>
      <w:r>
        <w:rPr>
          <w:rFonts w:hint="eastAsia" w:ascii="楷体_GB2312" w:hAnsi="楷体_GB2312" w:eastAsia="楷体_GB2312" w:cs="楷体_GB2312"/>
          <w:color w:val="auto"/>
          <w:spacing w:val="6"/>
          <w:sz w:val="30"/>
          <w:szCs w:val="30"/>
          <w:highlight w:val="none"/>
          <w:lang w:val="en-US" w:eastAsia="zh-CN"/>
        </w:rPr>
        <w:t>五</w:t>
      </w:r>
      <w:r>
        <w:rPr>
          <w:rFonts w:hint="eastAsia" w:ascii="楷体_GB2312" w:hAnsi="楷体_GB2312" w:eastAsia="楷体_GB2312" w:cs="楷体_GB2312"/>
          <w:color w:val="auto"/>
          <w:spacing w:val="6"/>
          <w:sz w:val="30"/>
          <w:szCs w:val="30"/>
          <w:highlight w:val="none"/>
        </w:rPr>
        <w:t>）营造良好社会氛围</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r>
        <w:rPr>
          <w:rFonts w:hint="eastAsia" w:ascii="楷体_GB2312" w:hAnsi="楷体_GB2312" w:eastAsia="楷体_GB2312" w:cs="楷体_GB2312"/>
          <w:color w:val="auto"/>
          <w:spacing w:val="6"/>
          <w:sz w:val="30"/>
          <w:szCs w:val="30"/>
          <w:highlight w:val="none"/>
          <w:lang w:eastAsia="zh-CN"/>
        </w:rPr>
        <w:t>。</w:t>
      </w:r>
    </w:p>
    <w:p>
      <w:pPr>
        <w:keepNext w:val="0"/>
        <w:keepLines w:val="0"/>
        <w:pageBreakBefore w:val="0"/>
        <w:widowControl w:val="0"/>
        <w:kinsoku/>
        <w:wordWrap/>
        <w:overflowPunct w:val="0"/>
        <w:topLinePunct w:val="0"/>
        <w:autoSpaceDE/>
        <w:autoSpaceDN/>
        <w:bidi w:val="0"/>
        <w:adjustRightInd w:val="0"/>
        <w:snapToGrid w:val="0"/>
        <w:spacing w:beforeLines="0" w:line="578" w:lineRule="exact"/>
        <w:ind w:firstLine="624" w:firstLineChars="200"/>
        <w:jc w:val="both"/>
        <w:textAlignment w:val="auto"/>
        <w:outlineLvl w:val="9"/>
        <w:rPr>
          <w:rFonts w:hint="eastAsia" w:ascii="仿宋_GB2312" w:hAnsi="仿宋_GB2312" w:eastAsia="仿宋_GB2312" w:cs="仿宋_GB2312"/>
          <w:color w:val="auto"/>
          <w:spacing w:val="6"/>
          <w:sz w:val="30"/>
          <w:szCs w:val="30"/>
        </w:rPr>
      </w:pPr>
      <w:r>
        <w:rPr>
          <w:rFonts w:hint="eastAsia" w:ascii="仿宋_GB2312" w:hAnsi="仿宋_GB2312" w:eastAsia="仿宋_GB2312" w:cs="仿宋_GB2312"/>
          <w:color w:val="auto"/>
          <w:spacing w:val="6"/>
          <w:sz w:val="30"/>
          <w:szCs w:val="30"/>
          <w:highlight w:val="none"/>
        </w:rPr>
        <w:t>依托官方网站、政务新媒体、电视广播、社区宣传栏等渠道，常态化解读医保政策要点、改革核心举措及民生利好。建立健全社会关切快速响应机制，针对群众普遍关注的热点问题，及时通过权威平台发布准确信息，增强群众对医保工作的信任感。鼓励和支持社会各界参与医保政策宣传、志愿服务等工作，形成政府主导、部门协同、社会参与的共建共治共享格局。</w:t>
      </w:r>
      <w:bookmarkStart w:id="1402" w:name="_Toc26504"/>
      <w:bookmarkStart w:id="1403" w:name="_Toc1439440370"/>
      <w:bookmarkStart w:id="1404" w:name="_Toc17139"/>
      <w:bookmarkStart w:id="1405" w:name="_Toc22207"/>
      <w:bookmarkStart w:id="1406" w:name="_Toc13666"/>
      <w:bookmarkStart w:id="1407" w:name="_Toc22853"/>
      <w:bookmarkStart w:id="1408" w:name="_Toc1291030149"/>
      <w:bookmarkStart w:id="1409" w:name="_Toc26226"/>
    </w:p>
    <w:p>
      <w:pPr>
        <w:pStyle w:val="5"/>
        <w:keepNext w:val="0"/>
        <w:keepLines w:val="0"/>
        <w:pageBreakBefore w:val="0"/>
        <w:widowControl w:val="0"/>
        <w:kinsoku/>
        <w:wordWrap/>
        <w:overflowPunct w:val="0"/>
        <w:topLinePunct w:val="0"/>
        <w:autoSpaceDE/>
        <w:autoSpaceDN/>
        <w:bidi w:val="0"/>
        <w:adjustRightInd w:val="0"/>
        <w:snapToGrid w:val="0"/>
        <w:spacing w:beforeLines="0" w:line="578" w:lineRule="exact"/>
        <w:jc w:val="center"/>
        <w:textAlignment w:val="auto"/>
        <w:outlineLvl w:val="0"/>
        <w:rPr>
          <w:rFonts w:hint="eastAsia" w:ascii="仿宋_GB2312" w:hAnsi="仿宋_GB2312" w:eastAsia="仿宋_GB2312" w:cs="仿宋_GB2312"/>
          <w:b w:val="0"/>
          <w:bCs w:val="0"/>
          <w:color w:val="auto"/>
          <w:spacing w:val="6"/>
          <w:sz w:val="30"/>
          <w:szCs w:val="30"/>
          <w:highlight w:val="none"/>
        </w:rPr>
        <w:sectPr>
          <w:footerReference r:id="rId10" w:type="first"/>
          <w:footerReference r:id="rId9" w:type="default"/>
          <w:pgSz w:w="11905" w:h="16838"/>
          <w:pgMar w:top="2098" w:right="1474" w:bottom="1984" w:left="1587" w:header="850" w:footer="1417" w:gutter="0"/>
          <w:pgNumType w:fmt="numberInDash" w:start="1"/>
          <w:cols w:space="720" w:num="1"/>
          <w:titlePg/>
          <w:rtlGutter w:val="0"/>
          <w:docGrid w:type="lines" w:linePitch="312" w:charSpace="0"/>
        </w:sectPr>
      </w:pPr>
      <w:bookmarkStart w:id="1410" w:name="_Toc29225"/>
      <w:bookmarkStart w:id="1411" w:name="_Toc2531"/>
      <w:bookmarkStart w:id="1412" w:name="_Toc22531"/>
      <w:bookmarkStart w:id="1413" w:name="_Toc16167"/>
      <w:bookmarkStart w:id="1414" w:name="_Toc24150"/>
      <w:bookmarkStart w:id="1415" w:name="_Toc11628"/>
      <w:bookmarkStart w:id="1416" w:name="_Toc8409"/>
      <w:bookmarkStart w:id="1417" w:name="_Toc32489"/>
      <w:bookmarkStart w:id="1418" w:name="_Toc7611"/>
      <w:bookmarkStart w:id="1419" w:name="_Toc28943"/>
      <w:bookmarkStart w:id="1420" w:name="_Toc6990"/>
      <w:bookmarkStart w:id="1421" w:name="_Toc25600"/>
      <w:bookmarkStart w:id="1422" w:name="_Toc19466"/>
      <w:bookmarkStart w:id="1423" w:name="_Toc23614"/>
      <w:bookmarkStart w:id="1424" w:name="_Toc13885"/>
      <w:bookmarkStart w:id="1425" w:name="_Toc25375"/>
      <w:bookmarkStart w:id="1426" w:name="_Toc3537"/>
      <w:bookmarkStart w:id="1427" w:name="_Toc3838"/>
    </w:p>
    <w:p>
      <w:pPr>
        <w:pStyle w:val="5"/>
        <w:keepNext w:val="0"/>
        <w:keepLines w:val="0"/>
        <w:pageBreakBefore w:val="0"/>
        <w:widowControl w:val="0"/>
        <w:kinsoku/>
        <w:wordWrap/>
        <w:overflowPunct w:val="0"/>
        <w:topLinePunct w:val="0"/>
        <w:autoSpaceDE/>
        <w:autoSpaceDN/>
        <w:bidi w:val="0"/>
        <w:adjustRightInd w:val="0"/>
        <w:snapToGrid w:val="0"/>
        <w:spacing w:line="570" w:lineRule="exact"/>
        <w:ind w:firstLine="0" w:firstLineChars="0"/>
        <w:jc w:val="center"/>
        <w:textAlignment w:val="auto"/>
        <w:outlineLvl w:val="0"/>
        <w:rPr>
          <w:rFonts w:hint="eastAsia" w:ascii="方正小标宋_GBK" w:hAnsi="方正小标宋_GBK" w:eastAsia="方正小标宋_GBK" w:cs="方正小标宋_GBK"/>
          <w:b w:val="0"/>
          <w:bCs w:val="0"/>
          <w:color w:val="auto"/>
          <w:spacing w:val="0"/>
          <w:sz w:val="42"/>
          <w:szCs w:val="42"/>
          <w:highlight w:val="none"/>
        </w:rPr>
      </w:pPr>
      <w:r>
        <w:rPr>
          <w:rFonts w:hint="eastAsia" w:ascii="方正小标宋_GBK" w:hAnsi="方正小标宋_GBK" w:eastAsia="方正小标宋_GBK" w:cs="方正小标宋_GBK"/>
          <w:b w:val="0"/>
          <w:bCs w:val="0"/>
          <w:color w:val="auto"/>
          <w:spacing w:val="0"/>
          <w:sz w:val="42"/>
          <w:szCs w:val="42"/>
          <w:highlight w:val="none"/>
        </w:rPr>
        <w:t>名词解释</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keepNext w:val="0"/>
        <w:keepLines w:val="0"/>
        <w:pageBreakBefore w:val="0"/>
        <w:widowControl w:val="0"/>
        <w:kinsoku/>
        <w:wordWrap/>
        <w:overflowPunct w:val="0"/>
        <w:topLinePunct w:val="0"/>
        <w:autoSpaceDE/>
        <w:autoSpaceDN/>
        <w:bidi w:val="0"/>
        <w:adjustRightInd w:val="0"/>
        <w:snapToGrid w:val="0"/>
        <w:spacing w:line="400" w:lineRule="exact"/>
        <w:ind w:firstLine="560" w:firstLineChars="200"/>
        <w:jc w:val="both"/>
        <w:textAlignment w:val="auto"/>
        <w:rPr>
          <w:rFonts w:hint="default" w:ascii="Times New Roman" w:hAnsi="Times New Roman" w:eastAsia="仿宋_GB2312" w:cs="Times New Roman"/>
          <w:color w:val="auto"/>
          <w:spacing w:val="0"/>
          <w:sz w:val="28"/>
          <w:szCs w:val="28"/>
          <w:highlight w:val="none"/>
        </w:rPr>
      </w:pPr>
    </w:p>
    <w:p>
      <w:pPr>
        <w:keepNext w:val="0"/>
        <w:keepLines w:val="0"/>
        <w:pageBreakBefore w:val="0"/>
        <w:widowControl w:val="0"/>
        <w:kinsoku/>
        <w:wordWrap/>
        <w:overflowPunct w:val="0"/>
        <w:topLinePunct w:val="0"/>
        <w:autoSpaceDE/>
        <w:autoSpaceDN/>
        <w:bidi w:val="0"/>
        <w:adjustRightInd w:val="0"/>
        <w:snapToGrid w:val="0"/>
        <w:spacing w:line="586"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rPr>
      </w:pPr>
      <w:r>
        <w:rPr>
          <w:rFonts w:hint="eastAsia" w:ascii="仿宋_GB2312" w:hAnsi="仿宋_GB2312" w:eastAsia="仿宋_GB2312" w:cs="仿宋_GB2312"/>
          <w:b/>
          <w:bCs/>
          <w:color w:val="auto"/>
          <w:spacing w:val="0"/>
          <w:sz w:val="30"/>
          <w:szCs w:val="30"/>
          <w:highlight w:val="none"/>
          <w:lang w:val="en-US" w:eastAsia="zh-CN"/>
        </w:rPr>
        <w:t>1</w:t>
      </w:r>
      <w:r>
        <w:rPr>
          <w:rFonts w:hint="eastAsia" w:ascii="仿宋_GB2312" w:hAnsi="仿宋_GB2312" w:eastAsia="仿宋_GB2312" w:cs="仿宋_GB2312"/>
          <w:b/>
          <w:bCs/>
          <w:color w:val="auto"/>
          <w:spacing w:val="0"/>
          <w:sz w:val="30"/>
          <w:szCs w:val="30"/>
          <w:highlight w:val="none"/>
        </w:rPr>
        <w:t>.惠琼保：</w:t>
      </w:r>
      <w:r>
        <w:rPr>
          <w:rFonts w:hint="eastAsia" w:ascii="仿宋_GB2312" w:hAnsi="仿宋_GB2312" w:eastAsia="仿宋_GB2312" w:cs="仿宋_GB2312"/>
          <w:b w:val="0"/>
          <w:bCs w:val="0"/>
          <w:color w:val="auto"/>
          <w:spacing w:val="0"/>
          <w:sz w:val="30"/>
          <w:szCs w:val="30"/>
          <w:highlight w:val="none"/>
        </w:rPr>
        <w:t>我省推出的普惠型</w:t>
      </w:r>
      <w:r>
        <w:rPr>
          <w:rFonts w:hint="eastAsia" w:ascii="仿宋_GB2312" w:hAnsi="仿宋_GB2312" w:eastAsia="仿宋_GB2312" w:cs="仿宋_GB2312"/>
          <w:b w:val="0"/>
          <w:bCs w:val="0"/>
          <w:color w:val="auto"/>
          <w:spacing w:val="0"/>
          <w:sz w:val="30"/>
          <w:szCs w:val="30"/>
          <w:highlight w:val="none"/>
          <w:lang w:eastAsia="zh-CN"/>
        </w:rPr>
        <w:t>商业医疗保险</w:t>
      </w:r>
      <w:r>
        <w:rPr>
          <w:rFonts w:hint="eastAsia" w:ascii="仿宋_GB2312" w:hAnsi="仿宋_GB2312" w:eastAsia="仿宋_GB2312" w:cs="仿宋_GB2312"/>
          <w:b w:val="0"/>
          <w:bCs w:val="0"/>
          <w:color w:val="auto"/>
          <w:spacing w:val="0"/>
          <w:sz w:val="30"/>
          <w:szCs w:val="30"/>
          <w:highlight w:val="none"/>
        </w:rPr>
        <w:t>产品，与基本医保相衔接，面向全省参保群众提供补充医疗保障。</w:t>
      </w:r>
    </w:p>
    <w:p>
      <w:pPr>
        <w:keepNext w:val="0"/>
        <w:keepLines w:val="0"/>
        <w:pageBreakBefore w:val="0"/>
        <w:widowControl w:val="0"/>
        <w:kinsoku/>
        <w:wordWrap/>
        <w:overflowPunct w:val="0"/>
        <w:topLinePunct w:val="0"/>
        <w:autoSpaceDE/>
        <w:autoSpaceDN/>
        <w:bidi w:val="0"/>
        <w:adjustRightInd w:val="0"/>
        <w:snapToGrid w:val="0"/>
        <w:spacing w:line="586"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rPr>
      </w:pPr>
      <w:r>
        <w:rPr>
          <w:rFonts w:hint="eastAsia" w:ascii="仿宋_GB2312" w:hAnsi="仿宋_GB2312" w:eastAsia="仿宋_GB2312" w:cs="仿宋_GB2312"/>
          <w:b/>
          <w:bCs/>
          <w:color w:val="auto"/>
          <w:spacing w:val="0"/>
          <w:sz w:val="30"/>
          <w:szCs w:val="30"/>
          <w:highlight w:val="none"/>
          <w:lang w:val="en-US" w:eastAsia="zh-CN"/>
        </w:rPr>
        <w:t>2</w:t>
      </w:r>
      <w:r>
        <w:rPr>
          <w:rFonts w:hint="eastAsia" w:ascii="仿宋_GB2312" w:hAnsi="仿宋_GB2312" w:eastAsia="仿宋_GB2312" w:cs="仿宋_GB2312"/>
          <w:b/>
          <w:bCs/>
          <w:color w:val="auto"/>
          <w:spacing w:val="0"/>
          <w:sz w:val="30"/>
          <w:szCs w:val="30"/>
          <w:highlight w:val="none"/>
        </w:rPr>
        <w:t>.乐城特药险：</w:t>
      </w:r>
      <w:r>
        <w:rPr>
          <w:rFonts w:hint="eastAsia" w:ascii="仿宋_GB2312" w:hAnsi="仿宋_GB2312" w:eastAsia="仿宋_GB2312" w:cs="仿宋_GB2312"/>
          <w:b w:val="0"/>
          <w:bCs w:val="0"/>
          <w:color w:val="auto"/>
          <w:spacing w:val="0"/>
          <w:sz w:val="30"/>
          <w:szCs w:val="30"/>
          <w:highlight w:val="none"/>
        </w:rPr>
        <w:t>以海南博鳌乐城先行区特许药械为特色的</w:t>
      </w:r>
      <w:r>
        <w:rPr>
          <w:rFonts w:hint="eastAsia" w:ascii="仿宋_GB2312" w:hAnsi="仿宋_GB2312" w:eastAsia="仿宋_GB2312" w:cs="仿宋_GB2312"/>
          <w:b w:val="0"/>
          <w:bCs w:val="0"/>
          <w:color w:val="auto"/>
          <w:spacing w:val="0"/>
          <w:sz w:val="30"/>
          <w:szCs w:val="30"/>
          <w:highlight w:val="none"/>
          <w:lang w:eastAsia="zh-CN"/>
        </w:rPr>
        <w:t>商业医疗保险</w:t>
      </w:r>
      <w:r>
        <w:rPr>
          <w:rFonts w:hint="eastAsia" w:ascii="仿宋_GB2312" w:hAnsi="仿宋_GB2312" w:eastAsia="仿宋_GB2312" w:cs="仿宋_GB2312"/>
          <w:b w:val="0"/>
          <w:bCs w:val="0"/>
          <w:color w:val="auto"/>
          <w:spacing w:val="0"/>
          <w:sz w:val="30"/>
          <w:szCs w:val="30"/>
          <w:highlight w:val="none"/>
        </w:rPr>
        <w:t>产品，重点解决创新特药的用药保障问题。</w:t>
      </w:r>
    </w:p>
    <w:p>
      <w:pPr>
        <w:keepNext w:val="0"/>
        <w:keepLines w:val="0"/>
        <w:pageBreakBefore w:val="0"/>
        <w:widowControl w:val="0"/>
        <w:kinsoku/>
        <w:wordWrap/>
        <w:overflowPunct w:val="0"/>
        <w:topLinePunct w:val="0"/>
        <w:autoSpaceDE/>
        <w:autoSpaceDN/>
        <w:bidi w:val="0"/>
        <w:adjustRightInd w:val="0"/>
        <w:snapToGrid w:val="0"/>
        <w:spacing w:line="586"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rPr>
      </w:pPr>
      <w:r>
        <w:rPr>
          <w:rFonts w:hint="eastAsia" w:ascii="仿宋_GB2312" w:hAnsi="仿宋_GB2312" w:eastAsia="仿宋_GB2312" w:cs="仿宋_GB2312"/>
          <w:b/>
          <w:bCs/>
          <w:color w:val="auto"/>
          <w:spacing w:val="0"/>
          <w:sz w:val="30"/>
          <w:szCs w:val="30"/>
          <w:highlight w:val="none"/>
          <w:lang w:val="en-US" w:eastAsia="zh-CN"/>
        </w:rPr>
        <w:t>3</w:t>
      </w:r>
      <w:r>
        <w:rPr>
          <w:rFonts w:hint="eastAsia" w:ascii="仿宋_GB2312" w:hAnsi="仿宋_GB2312" w:eastAsia="仿宋_GB2312" w:cs="仿宋_GB2312"/>
          <w:b/>
          <w:bCs/>
          <w:color w:val="auto"/>
          <w:spacing w:val="0"/>
          <w:sz w:val="30"/>
          <w:szCs w:val="30"/>
          <w:highlight w:val="none"/>
        </w:rPr>
        <w:t>.“三结算”改革：</w:t>
      </w:r>
      <w:r>
        <w:rPr>
          <w:rFonts w:hint="eastAsia" w:ascii="仿宋_GB2312" w:hAnsi="仿宋_GB2312" w:eastAsia="仿宋_GB2312" w:cs="仿宋_GB2312"/>
          <w:b w:val="0"/>
          <w:bCs w:val="0"/>
          <w:color w:val="auto"/>
          <w:spacing w:val="0"/>
          <w:sz w:val="30"/>
          <w:szCs w:val="30"/>
          <w:highlight w:val="none"/>
        </w:rPr>
        <w:t>医保基金对医疗机构即时结算、对医药企业直接结算、与</w:t>
      </w:r>
      <w:r>
        <w:rPr>
          <w:rFonts w:hint="eastAsia" w:ascii="仿宋_GB2312" w:hAnsi="仿宋_GB2312" w:eastAsia="仿宋_GB2312" w:cs="仿宋_GB2312"/>
          <w:b w:val="0"/>
          <w:bCs w:val="0"/>
          <w:color w:val="auto"/>
          <w:spacing w:val="0"/>
          <w:sz w:val="30"/>
          <w:szCs w:val="30"/>
          <w:highlight w:val="none"/>
          <w:lang w:eastAsia="zh-CN"/>
        </w:rPr>
        <w:t>商业医疗保险</w:t>
      </w:r>
      <w:r>
        <w:rPr>
          <w:rFonts w:hint="eastAsia" w:ascii="仿宋_GB2312" w:hAnsi="仿宋_GB2312" w:eastAsia="仿宋_GB2312" w:cs="仿宋_GB2312"/>
          <w:b w:val="0"/>
          <w:bCs w:val="0"/>
          <w:color w:val="auto"/>
          <w:spacing w:val="0"/>
          <w:sz w:val="30"/>
          <w:szCs w:val="30"/>
          <w:highlight w:val="none"/>
        </w:rPr>
        <w:t>同步结算三项结算机制改革的统称，旨在压缩结算周期、提升资金周转效率。</w:t>
      </w:r>
    </w:p>
    <w:p>
      <w:pPr>
        <w:keepNext w:val="0"/>
        <w:keepLines w:val="0"/>
        <w:pageBreakBefore w:val="0"/>
        <w:widowControl w:val="0"/>
        <w:kinsoku/>
        <w:wordWrap/>
        <w:overflowPunct w:val="0"/>
        <w:topLinePunct w:val="0"/>
        <w:autoSpaceDE/>
        <w:autoSpaceDN/>
        <w:bidi w:val="0"/>
        <w:adjustRightInd w:val="0"/>
        <w:snapToGrid w:val="0"/>
        <w:spacing w:line="586"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rPr>
      </w:pPr>
      <w:r>
        <w:rPr>
          <w:rFonts w:hint="eastAsia" w:ascii="仿宋_GB2312" w:hAnsi="仿宋_GB2312" w:eastAsia="仿宋_GB2312" w:cs="仿宋_GB2312"/>
          <w:b/>
          <w:bCs/>
          <w:color w:val="auto"/>
          <w:spacing w:val="0"/>
          <w:sz w:val="30"/>
          <w:szCs w:val="30"/>
          <w:highlight w:val="none"/>
          <w:lang w:val="en-US" w:eastAsia="zh-CN"/>
        </w:rPr>
        <w:t>4</w:t>
      </w:r>
      <w:r>
        <w:rPr>
          <w:rFonts w:hint="eastAsia" w:ascii="仿宋_GB2312" w:hAnsi="仿宋_GB2312" w:eastAsia="仿宋_GB2312" w:cs="仿宋_GB2312"/>
          <w:b/>
          <w:bCs/>
          <w:color w:val="auto"/>
          <w:spacing w:val="0"/>
          <w:sz w:val="30"/>
          <w:szCs w:val="30"/>
          <w:highlight w:val="none"/>
          <w:lang w:eastAsia="zh-CN"/>
        </w:rPr>
        <w:t>.长期照护师：</w:t>
      </w:r>
      <w:r>
        <w:rPr>
          <w:rFonts w:hint="eastAsia" w:ascii="仿宋_GB2312" w:hAnsi="仿宋_GB2312" w:eastAsia="仿宋_GB2312" w:cs="仿宋_GB2312"/>
          <w:b w:val="0"/>
          <w:bCs w:val="0"/>
          <w:color w:val="auto"/>
          <w:spacing w:val="0"/>
          <w:sz w:val="30"/>
          <w:szCs w:val="30"/>
          <w:highlight w:val="none"/>
        </w:rPr>
        <w:t>国家发布的新职业，指为失能人员提供基本生活照料和与之密切相关的医疗护理服务的专业人员，是长期护理保险制度的重要人才支撑。</w:t>
      </w:r>
    </w:p>
    <w:p>
      <w:pPr>
        <w:keepNext w:val="0"/>
        <w:keepLines w:val="0"/>
        <w:pageBreakBefore w:val="0"/>
        <w:widowControl w:val="0"/>
        <w:kinsoku/>
        <w:wordWrap/>
        <w:overflowPunct w:val="0"/>
        <w:topLinePunct w:val="0"/>
        <w:autoSpaceDE/>
        <w:autoSpaceDN/>
        <w:bidi w:val="0"/>
        <w:adjustRightInd w:val="0"/>
        <w:snapToGrid w:val="0"/>
        <w:spacing w:line="586"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lang w:val="en-US" w:eastAsia="zh-CN"/>
        </w:rPr>
      </w:pPr>
      <w:r>
        <w:rPr>
          <w:rFonts w:hint="eastAsia" w:ascii="仿宋_GB2312" w:hAnsi="仿宋_GB2312" w:eastAsia="仿宋_GB2312" w:cs="仿宋_GB2312"/>
          <w:b/>
          <w:bCs/>
          <w:color w:val="auto"/>
          <w:spacing w:val="0"/>
          <w:sz w:val="30"/>
          <w:szCs w:val="30"/>
          <w:highlight w:val="none"/>
          <w:lang w:val="en-US" w:eastAsia="zh-CN"/>
        </w:rPr>
        <w:t>5.长护专员：</w:t>
      </w:r>
      <w:r>
        <w:rPr>
          <w:rFonts w:hint="eastAsia" w:ascii="仿宋_GB2312" w:hAnsi="仿宋_GB2312" w:eastAsia="仿宋_GB2312" w:cs="仿宋_GB2312"/>
          <w:b w:val="0"/>
          <w:bCs w:val="0"/>
          <w:color w:val="auto"/>
          <w:spacing w:val="0"/>
          <w:sz w:val="30"/>
          <w:szCs w:val="30"/>
          <w:highlight w:val="none"/>
          <w:lang w:val="en-US" w:eastAsia="zh-CN"/>
        </w:rPr>
        <w:t>是指在长护险制度框架下，专门从事失能等级评估监督、护理计划制定、服务质量管控、费用审核拨付及政策宣传等全流程管理协调工作的专业化岗位人员，是衔接政策、机构与失能人员之间的核心枢纽。</w:t>
      </w:r>
    </w:p>
    <w:p>
      <w:pPr>
        <w:keepNext w:val="0"/>
        <w:keepLines w:val="0"/>
        <w:pageBreakBefore w:val="0"/>
        <w:widowControl w:val="0"/>
        <w:kinsoku/>
        <w:wordWrap/>
        <w:overflowPunct w:val="0"/>
        <w:topLinePunct w:val="0"/>
        <w:autoSpaceDE/>
        <w:autoSpaceDN/>
        <w:bidi w:val="0"/>
        <w:adjustRightInd w:val="0"/>
        <w:snapToGrid w:val="0"/>
        <w:spacing w:line="586"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rPr>
      </w:pPr>
      <w:r>
        <w:rPr>
          <w:rFonts w:hint="eastAsia" w:ascii="仿宋_GB2312" w:hAnsi="仿宋_GB2312" w:eastAsia="仿宋_GB2312" w:cs="仿宋_GB2312"/>
          <w:b/>
          <w:bCs/>
          <w:color w:val="auto"/>
          <w:spacing w:val="0"/>
          <w:sz w:val="30"/>
          <w:szCs w:val="30"/>
          <w:highlight w:val="none"/>
          <w:lang w:val="en-US" w:eastAsia="zh-CN"/>
        </w:rPr>
        <w:t>6</w:t>
      </w:r>
      <w:r>
        <w:rPr>
          <w:rFonts w:hint="eastAsia" w:ascii="仿宋_GB2312" w:hAnsi="仿宋_GB2312" w:eastAsia="仿宋_GB2312" w:cs="仿宋_GB2312"/>
          <w:b/>
          <w:bCs/>
          <w:color w:val="auto"/>
          <w:spacing w:val="0"/>
          <w:sz w:val="30"/>
          <w:szCs w:val="30"/>
          <w:highlight w:val="none"/>
        </w:rPr>
        <w:t>.DRG：</w:t>
      </w:r>
      <w:r>
        <w:rPr>
          <w:rFonts w:hint="eastAsia" w:ascii="仿宋_GB2312" w:hAnsi="仿宋_GB2312" w:eastAsia="仿宋_GB2312" w:cs="仿宋_GB2312"/>
          <w:b w:val="0"/>
          <w:bCs w:val="0"/>
          <w:color w:val="auto"/>
          <w:spacing w:val="0"/>
          <w:sz w:val="30"/>
          <w:szCs w:val="30"/>
          <w:highlight w:val="none"/>
        </w:rPr>
        <w:t>疾病诊断相关分组付费，将患者按疾病诊断、治疗方式和个体特征等因素分组，按组别确定医保支付标准的一种住院费用付费方式。</w:t>
      </w:r>
    </w:p>
    <w:p>
      <w:pPr>
        <w:keepNext w:val="0"/>
        <w:keepLines w:val="0"/>
        <w:pageBreakBefore w:val="0"/>
        <w:widowControl w:val="0"/>
        <w:kinsoku/>
        <w:wordWrap/>
        <w:overflowPunct w:val="0"/>
        <w:topLinePunct w:val="0"/>
        <w:autoSpaceDE/>
        <w:autoSpaceDN/>
        <w:bidi w:val="0"/>
        <w:adjustRightInd w:val="0"/>
        <w:snapToGrid w:val="0"/>
        <w:spacing w:line="586"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rPr>
      </w:pPr>
      <w:r>
        <w:rPr>
          <w:rFonts w:hint="eastAsia" w:ascii="仿宋_GB2312" w:hAnsi="仿宋_GB2312" w:eastAsia="仿宋_GB2312" w:cs="仿宋_GB2312"/>
          <w:b/>
          <w:bCs/>
          <w:color w:val="auto"/>
          <w:spacing w:val="0"/>
          <w:sz w:val="30"/>
          <w:szCs w:val="30"/>
          <w:highlight w:val="none"/>
          <w:lang w:val="en-US" w:eastAsia="zh-CN"/>
        </w:rPr>
        <w:t>7</w:t>
      </w:r>
      <w:r>
        <w:rPr>
          <w:rFonts w:hint="eastAsia" w:ascii="仿宋_GB2312" w:hAnsi="仿宋_GB2312" w:eastAsia="仿宋_GB2312" w:cs="仿宋_GB2312"/>
          <w:b/>
          <w:bCs/>
          <w:color w:val="auto"/>
          <w:spacing w:val="0"/>
          <w:sz w:val="30"/>
          <w:szCs w:val="30"/>
          <w:highlight w:val="none"/>
        </w:rPr>
        <w:t>.DIP：</w:t>
      </w:r>
      <w:r>
        <w:rPr>
          <w:rFonts w:hint="eastAsia" w:ascii="仿宋_GB2312" w:hAnsi="仿宋_GB2312" w:eastAsia="仿宋_GB2312" w:cs="仿宋_GB2312"/>
          <w:b w:val="0"/>
          <w:bCs w:val="0"/>
          <w:color w:val="auto"/>
          <w:spacing w:val="0"/>
          <w:sz w:val="30"/>
          <w:szCs w:val="30"/>
          <w:highlight w:val="none"/>
        </w:rPr>
        <w:t>基于大数据的按病种分值付费，利用历史数据对疾病诊断和治疗方式进行聚类分组，赋予不同病种分值，依据分值进行医保结算的支付方式。</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02" w:firstLineChars="200"/>
        <w:jc w:val="both"/>
        <w:textAlignment w:val="auto"/>
        <w:rPr>
          <w:rFonts w:hint="eastAsia" w:ascii="仿宋_GB2312" w:hAnsi="仿宋_GB2312" w:eastAsia="仿宋_GB2312" w:cs="仿宋_GB2312"/>
          <w:b/>
          <w:bCs/>
          <w:color w:val="auto"/>
          <w:spacing w:val="0"/>
          <w:sz w:val="30"/>
          <w:szCs w:val="30"/>
          <w:highlight w:val="none"/>
          <w:lang w:eastAsia="zh-CN"/>
        </w:rPr>
      </w:pPr>
      <w:r>
        <w:rPr>
          <w:rFonts w:hint="eastAsia" w:ascii="仿宋_GB2312" w:hAnsi="仿宋_GB2312" w:eastAsia="仿宋_GB2312" w:cs="仿宋_GB2312"/>
          <w:b/>
          <w:bCs/>
          <w:color w:val="auto"/>
          <w:spacing w:val="0"/>
          <w:sz w:val="30"/>
          <w:szCs w:val="30"/>
          <w:highlight w:val="none"/>
          <w:lang w:val="en-US" w:eastAsia="zh-CN"/>
        </w:rPr>
        <w:t>8</w:t>
      </w:r>
      <w:r>
        <w:rPr>
          <w:rFonts w:hint="eastAsia" w:ascii="仿宋_GB2312" w:hAnsi="仿宋_GB2312" w:eastAsia="仿宋_GB2312" w:cs="仿宋_GB2312"/>
          <w:b/>
          <w:bCs/>
          <w:color w:val="auto"/>
          <w:spacing w:val="0"/>
          <w:sz w:val="30"/>
          <w:szCs w:val="30"/>
          <w:highlight w:val="none"/>
          <w:lang w:eastAsia="zh-CN"/>
        </w:rPr>
        <w:t>.“双通道”管理机制：</w:t>
      </w:r>
      <w:r>
        <w:rPr>
          <w:rFonts w:hint="eastAsia" w:ascii="仿宋_GB2312" w:hAnsi="仿宋_GB2312" w:eastAsia="仿宋_GB2312" w:cs="仿宋_GB2312"/>
          <w:b w:val="0"/>
          <w:bCs w:val="0"/>
          <w:color w:val="auto"/>
          <w:spacing w:val="0"/>
          <w:sz w:val="30"/>
          <w:szCs w:val="30"/>
          <w:highlight w:val="none"/>
        </w:rPr>
        <w:t>指国家谈判药品同时通过定点医疗机构和定点零售药店两个渠道供应，并纳入医保支付的管理机制，保障参保患者用药可及性。</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02" w:firstLineChars="200"/>
        <w:jc w:val="both"/>
        <w:textAlignment w:val="auto"/>
        <w:rPr>
          <w:rFonts w:hint="eastAsia" w:ascii="仿宋_GB2312" w:hAnsi="仿宋_GB2312" w:eastAsia="仿宋_GB2312" w:cs="仿宋_GB2312"/>
          <w:b/>
          <w:bCs/>
          <w:color w:val="auto"/>
          <w:spacing w:val="0"/>
          <w:sz w:val="30"/>
          <w:szCs w:val="30"/>
          <w:highlight w:val="none"/>
          <w:lang w:eastAsia="zh-CN"/>
        </w:rPr>
      </w:pPr>
      <w:r>
        <w:rPr>
          <w:rFonts w:hint="eastAsia" w:ascii="仿宋_GB2312" w:hAnsi="仿宋_GB2312" w:eastAsia="仿宋_GB2312" w:cs="仿宋_GB2312"/>
          <w:b/>
          <w:bCs/>
          <w:color w:val="auto"/>
          <w:spacing w:val="0"/>
          <w:sz w:val="30"/>
          <w:szCs w:val="30"/>
          <w:highlight w:val="none"/>
          <w:lang w:val="en-US" w:eastAsia="zh-CN"/>
        </w:rPr>
        <w:t>9</w:t>
      </w:r>
      <w:r>
        <w:rPr>
          <w:rFonts w:hint="eastAsia" w:ascii="仿宋_GB2312" w:hAnsi="仿宋_GB2312" w:eastAsia="仿宋_GB2312" w:cs="仿宋_GB2312"/>
          <w:b/>
          <w:bCs/>
          <w:color w:val="auto"/>
          <w:spacing w:val="0"/>
          <w:sz w:val="30"/>
          <w:szCs w:val="30"/>
          <w:highlight w:val="none"/>
        </w:rPr>
        <w:t>.医保钱包：</w:t>
      </w:r>
      <w:r>
        <w:rPr>
          <w:rFonts w:hint="eastAsia" w:ascii="仿宋_GB2312" w:hAnsi="仿宋_GB2312" w:eastAsia="仿宋_GB2312" w:cs="仿宋_GB2312"/>
          <w:b w:val="0"/>
          <w:bCs w:val="0"/>
          <w:color w:val="auto"/>
          <w:spacing w:val="0"/>
          <w:sz w:val="30"/>
          <w:szCs w:val="30"/>
          <w:highlight w:val="none"/>
        </w:rPr>
        <w:t>职工医保个人账户跨省共济的数字化载体，参保人可通过“医保钱包”将个人账户余额用于支付本人及近亲属的跨省就医购药费用。</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rPr>
      </w:pPr>
      <w:r>
        <w:rPr>
          <w:rFonts w:hint="eastAsia" w:ascii="仿宋_GB2312" w:hAnsi="仿宋_GB2312" w:eastAsia="仿宋_GB2312" w:cs="仿宋_GB2312"/>
          <w:b/>
          <w:bCs/>
          <w:color w:val="auto"/>
          <w:spacing w:val="0"/>
          <w:sz w:val="30"/>
          <w:szCs w:val="30"/>
          <w:highlight w:val="none"/>
          <w:lang w:val="en-US" w:eastAsia="zh-CN"/>
        </w:rPr>
        <w:t>10</w:t>
      </w:r>
      <w:r>
        <w:rPr>
          <w:rFonts w:hint="eastAsia" w:ascii="仿宋_GB2312" w:hAnsi="仿宋_GB2312" w:eastAsia="仿宋_GB2312" w:cs="仿宋_GB2312"/>
          <w:b/>
          <w:bCs/>
          <w:color w:val="auto"/>
          <w:spacing w:val="0"/>
          <w:sz w:val="30"/>
          <w:szCs w:val="30"/>
          <w:highlight w:val="none"/>
        </w:rPr>
        <w:t>.</w:t>
      </w:r>
      <w:r>
        <w:rPr>
          <w:rFonts w:hint="eastAsia" w:ascii="仿宋_GB2312" w:hAnsi="仿宋_GB2312" w:eastAsia="仿宋_GB2312" w:cs="仿宋_GB2312"/>
          <w:b/>
          <w:bCs/>
          <w:color w:val="auto"/>
          <w:spacing w:val="0"/>
          <w:sz w:val="30"/>
          <w:szCs w:val="30"/>
          <w:highlight w:val="none"/>
          <w:lang w:eastAsia="zh-CN"/>
        </w:rPr>
        <w:t>“</w:t>
      </w:r>
      <w:r>
        <w:rPr>
          <w:rFonts w:hint="eastAsia" w:ascii="仿宋_GB2312" w:hAnsi="仿宋_GB2312" w:eastAsia="仿宋_GB2312" w:cs="仿宋_GB2312"/>
          <w:b/>
          <w:bCs/>
          <w:color w:val="auto"/>
          <w:spacing w:val="0"/>
          <w:sz w:val="30"/>
          <w:szCs w:val="30"/>
          <w:highlight w:val="none"/>
        </w:rPr>
        <w:t>两定机构</w:t>
      </w:r>
      <w:r>
        <w:rPr>
          <w:rFonts w:hint="eastAsia" w:ascii="仿宋_GB2312" w:hAnsi="仿宋_GB2312" w:eastAsia="仿宋_GB2312" w:cs="仿宋_GB2312"/>
          <w:b/>
          <w:bCs/>
          <w:color w:val="auto"/>
          <w:spacing w:val="0"/>
          <w:sz w:val="30"/>
          <w:szCs w:val="30"/>
          <w:highlight w:val="none"/>
          <w:lang w:eastAsia="zh-CN"/>
        </w:rPr>
        <w:t>”</w:t>
      </w:r>
      <w:r>
        <w:rPr>
          <w:rFonts w:hint="eastAsia" w:ascii="仿宋_GB2312" w:hAnsi="仿宋_GB2312" w:eastAsia="仿宋_GB2312" w:cs="仿宋_GB2312"/>
          <w:b/>
          <w:bCs/>
          <w:color w:val="auto"/>
          <w:spacing w:val="0"/>
          <w:sz w:val="30"/>
          <w:szCs w:val="30"/>
          <w:highlight w:val="none"/>
        </w:rPr>
        <w:t>：</w:t>
      </w:r>
      <w:r>
        <w:rPr>
          <w:rFonts w:hint="eastAsia" w:ascii="仿宋_GB2312" w:hAnsi="仿宋_GB2312" w:eastAsia="仿宋_GB2312" w:cs="仿宋_GB2312"/>
          <w:b w:val="0"/>
          <w:bCs w:val="0"/>
          <w:color w:val="auto"/>
          <w:spacing w:val="0"/>
          <w:sz w:val="30"/>
          <w:szCs w:val="30"/>
          <w:highlight w:val="none"/>
        </w:rPr>
        <w:t>基本医疗保险定点医疗机构和定点零售药店的统称，是医保基金支付和服务的两类主要载体。</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rPr>
      </w:pPr>
      <w:r>
        <w:rPr>
          <w:rFonts w:hint="eastAsia" w:ascii="仿宋_GB2312" w:hAnsi="仿宋_GB2312" w:eastAsia="仿宋_GB2312" w:cs="仿宋_GB2312"/>
          <w:b/>
          <w:bCs/>
          <w:color w:val="auto"/>
          <w:spacing w:val="0"/>
          <w:sz w:val="30"/>
          <w:szCs w:val="30"/>
          <w:highlight w:val="none"/>
          <w:lang w:val="en-US" w:eastAsia="zh-CN"/>
        </w:rPr>
        <w:t>11</w:t>
      </w:r>
      <w:r>
        <w:rPr>
          <w:rFonts w:hint="eastAsia" w:ascii="仿宋_GB2312" w:hAnsi="仿宋_GB2312" w:eastAsia="仿宋_GB2312" w:cs="仿宋_GB2312"/>
          <w:b/>
          <w:bCs/>
          <w:color w:val="auto"/>
          <w:spacing w:val="0"/>
          <w:sz w:val="30"/>
          <w:szCs w:val="30"/>
          <w:highlight w:val="none"/>
          <w:lang w:eastAsia="zh-CN"/>
        </w:rPr>
        <w:t>.个人医保云：</w:t>
      </w:r>
      <w:r>
        <w:rPr>
          <w:rFonts w:hint="eastAsia" w:ascii="仿宋_GB2312" w:hAnsi="仿宋_GB2312" w:eastAsia="仿宋_GB2312" w:cs="仿宋_GB2312"/>
          <w:b w:val="0"/>
          <w:bCs w:val="0"/>
          <w:color w:val="auto"/>
          <w:spacing w:val="0"/>
          <w:sz w:val="30"/>
          <w:szCs w:val="30"/>
          <w:highlight w:val="none"/>
        </w:rPr>
        <w:t>依托医保信息平台汇聚参保人员个人健康与医保数据，构建覆盖全人群、全周期、全场景的智慧医保管理新范式，为参保人提供精准画像和个性化服务。</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rPr>
      </w:pPr>
      <w:r>
        <w:rPr>
          <w:rFonts w:hint="eastAsia" w:ascii="仿宋_GB2312" w:hAnsi="仿宋_GB2312" w:eastAsia="仿宋_GB2312" w:cs="仿宋_GB2312"/>
          <w:b/>
          <w:bCs/>
          <w:color w:val="auto"/>
          <w:spacing w:val="0"/>
          <w:sz w:val="30"/>
          <w:szCs w:val="30"/>
          <w:highlight w:val="none"/>
          <w:lang w:val="en-US" w:eastAsia="zh-CN"/>
        </w:rPr>
        <w:t>12</w:t>
      </w:r>
      <w:r>
        <w:rPr>
          <w:rFonts w:hint="eastAsia" w:ascii="仿宋_GB2312" w:hAnsi="仿宋_GB2312" w:eastAsia="仿宋_GB2312" w:cs="仿宋_GB2312"/>
          <w:b/>
          <w:bCs/>
          <w:color w:val="auto"/>
          <w:spacing w:val="0"/>
          <w:sz w:val="30"/>
          <w:szCs w:val="30"/>
          <w:highlight w:val="none"/>
          <w:lang w:eastAsia="zh-CN"/>
        </w:rPr>
        <w:t>.</w:t>
      </w:r>
      <w:r>
        <w:rPr>
          <w:rFonts w:hint="eastAsia" w:ascii="仿宋_GB2312" w:hAnsi="仿宋_GB2312" w:eastAsia="仿宋_GB2312" w:cs="仿宋_GB2312"/>
          <w:b/>
          <w:bCs/>
          <w:color w:val="auto"/>
          <w:spacing w:val="0"/>
          <w:sz w:val="30"/>
          <w:szCs w:val="30"/>
          <w:highlight w:val="none"/>
          <w:lang w:val="en-US" w:eastAsia="zh-CN"/>
        </w:rPr>
        <w:t>AI</w:t>
      </w:r>
      <w:r>
        <w:rPr>
          <w:rFonts w:hint="eastAsia" w:ascii="仿宋_GB2312" w:hAnsi="仿宋_GB2312" w:eastAsia="仿宋_GB2312" w:cs="仿宋_GB2312"/>
          <w:b/>
          <w:bCs/>
          <w:color w:val="auto"/>
          <w:spacing w:val="0"/>
          <w:sz w:val="30"/>
          <w:szCs w:val="30"/>
          <w:highlight w:val="none"/>
          <w:lang w:eastAsia="zh-CN"/>
        </w:rPr>
        <w:t>两库：</w:t>
      </w:r>
      <w:r>
        <w:rPr>
          <w:rFonts w:hint="eastAsia" w:ascii="仿宋_GB2312" w:hAnsi="仿宋_GB2312" w:eastAsia="仿宋_GB2312" w:cs="仿宋_GB2312"/>
          <w:b w:val="0"/>
          <w:bCs w:val="0"/>
          <w:color w:val="auto"/>
          <w:spacing w:val="0"/>
          <w:sz w:val="30"/>
          <w:szCs w:val="30"/>
          <w:highlight w:val="none"/>
        </w:rPr>
        <w:t>依托人工智能技术构建的医保监管知识库与规则库，区别于传统人工梳理录入的静态两库，可实现自动抽取、自动生成、智能关联、自主迭代。</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rPr>
      </w:pPr>
      <w:r>
        <w:rPr>
          <w:rFonts w:hint="eastAsia" w:ascii="仿宋_GB2312" w:hAnsi="仿宋_GB2312" w:eastAsia="仿宋_GB2312" w:cs="仿宋_GB2312"/>
          <w:b/>
          <w:bCs/>
          <w:color w:val="auto"/>
          <w:spacing w:val="0"/>
          <w:sz w:val="30"/>
          <w:szCs w:val="30"/>
          <w:highlight w:val="none"/>
          <w:lang w:val="en-US" w:eastAsia="zh-CN"/>
        </w:rPr>
        <w:t>13</w:t>
      </w:r>
      <w:r>
        <w:rPr>
          <w:rFonts w:hint="eastAsia" w:ascii="仿宋_GB2312" w:hAnsi="仿宋_GB2312" w:eastAsia="仿宋_GB2312" w:cs="仿宋_GB2312"/>
          <w:b/>
          <w:bCs/>
          <w:color w:val="auto"/>
          <w:spacing w:val="0"/>
          <w:sz w:val="30"/>
          <w:szCs w:val="30"/>
          <w:highlight w:val="none"/>
        </w:rPr>
        <w:t>.“一人一档”</w:t>
      </w:r>
      <w:r>
        <w:rPr>
          <w:rFonts w:hint="eastAsia" w:ascii="仿宋_GB2312" w:hAnsi="仿宋_GB2312" w:eastAsia="仿宋_GB2312" w:cs="仿宋_GB2312"/>
          <w:b/>
          <w:bCs/>
          <w:color w:val="auto"/>
          <w:spacing w:val="0"/>
          <w:sz w:val="30"/>
          <w:szCs w:val="30"/>
          <w:highlight w:val="none"/>
          <w:lang w:val="en-US" w:eastAsia="zh-CN"/>
        </w:rPr>
        <w:t>“一院一档”“一店一档”</w:t>
      </w:r>
      <w:r>
        <w:rPr>
          <w:rFonts w:hint="eastAsia" w:ascii="仿宋_GB2312" w:hAnsi="仿宋_GB2312" w:eastAsia="仿宋_GB2312" w:cs="仿宋_GB2312"/>
          <w:b/>
          <w:bCs/>
          <w:color w:val="auto"/>
          <w:spacing w:val="0"/>
          <w:sz w:val="30"/>
          <w:szCs w:val="30"/>
          <w:highlight w:val="none"/>
        </w:rPr>
        <w:t>：</w:t>
      </w:r>
      <w:r>
        <w:rPr>
          <w:rFonts w:hint="eastAsia" w:ascii="仿宋_GB2312" w:hAnsi="仿宋_GB2312" w:eastAsia="仿宋_GB2312" w:cs="仿宋_GB2312"/>
          <w:b w:val="0"/>
          <w:bCs w:val="0"/>
          <w:color w:val="auto"/>
          <w:spacing w:val="0"/>
          <w:sz w:val="30"/>
          <w:szCs w:val="30"/>
          <w:highlight w:val="none"/>
        </w:rPr>
        <w:t>分别指以参保人员、</w:t>
      </w:r>
      <w:r>
        <w:rPr>
          <w:rFonts w:hint="eastAsia" w:ascii="仿宋_GB2312" w:hAnsi="仿宋_GB2312" w:eastAsia="仿宋_GB2312" w:cs="仿宋_GB2312"/>
          <w:b w:val="0"/>
          <w:bCs w:val="0"/>
          <w:color w:val="auto"/>
          <w:spacing w:val="0"/>
          <w:sz w:val="30"/>
          <w:szCs w:val="30"/>
          <w:highlight w:val="none"/>
          <w:lang w:val="en-US" w:eastAsia="zh-CN"/>
        </w:rPr>
        <w:t>定点医疗机构</w:t>
      </w:r>
      <w:r>
        <w:rPr>
          <w:rFonts w:hint="eastAsia" w:ascii="仿宋_GB2312" w:hAnsi="仿宋_GB2312" w:eastAsia="仿宋_GB2312" w:cs="仿宋_GB2312"/>
          <w:b w:val="0"/>
          <w:bCs w:val="0"/>
          <w:color w:val="auto"/>
          <w:spacing w:val="0"/>
          <w:sz w:val="30"/>
          <w:szCs w:val="30"/>
          <w:highlight w:val="none"/>
        </w:rPr>
        <w:t>、</w:t>
      </w:r>
      <w:r>
        <w:rPr>
          <w:rFonts w:hint="eastAsia" w:ascii="仿宋_GB2312" w:hAnsi="仿宋_GB2312" w:eastAsia="仿宋_GB2312" w:cs="仿宋_GB2312"/>
          <w:b w:val="0"/>
          <w:bCs w:val="0"/>
          <w:color w:val="auto"/>
          <w:spacing w:val="0"/>
          <w:sz w:val="30"/>
          <w:szCs w:val="30"/>
          <w:highlight w:val="none"/>
          <w:lang w:val="en-US" w:eastAsia="zh-CN"/>
        </w:rPr>
        <w:t>定点零售药店</w:t>
      </w:r>
      <w:r>
        <w:rPr>
          <w:rFonts w:hint="eastAsia" w:ascii="仿宋_GB2312" w:hAnsi="仿宋_GB2312" w:eastAsia="仿宋_GB2312" w:cs="仿宋_GB2312"/>
          <w:b w:val="0"/>
          <w:bCs w:val="0"/>
          <w:color w:val="auto"/>
          <w:spacing w:val="0"/>
          <w:sz w:val="30"/>
          <w:szCs w:val="30"/>
          <w:highlight w:val="none"/>
        </w:rPr>
        <w:t>为核心单元的数字化档案归集和管理模式，是医保数据治理的基础性工程。</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rPr>
      </w:pPr>
      <w:r>
        <w:rPr>
          <w:rFonts w:hint="eastAsia" w:ascii="仿宋_GB2312" w:hAnsi="仿宋_GB2312" w:eastAsia="仿宋_GB2312" w:cs="仿宋_GB2312"/>
          <w:b/>
          <w:bCs/>
          <w:color w:val="auto"/>
          <w:spacing w:val="0"/>
          <w:sz w:val="30"/>
          <w:szCs w:val="30"/>
          <w:highlight w:val="none"/>
          <w:lang w:val="en-US" w:eastAsia="zh-CN"/>
        </w:rPr>
        <w:t>14</w:t>
      </w:r>
      <w:r>
        <w:rPr>
          <w:rFonts w:hint="eastAsia" w:ascii="仿宋_GB2312" w:hAnsi="仿宋_GB2312" w:eastAsia="仿宋_GB2312" w:cs="仿宋_GB2312"/>
          <w:b/>
          <w:bCs/>
          <w:color w:val="auto"/>
          <w:spacing w:val="0"/>
          <w:sz w:val="30"/>
          <w:szCs w:val="30"/>
          <w:highlight w:val="none"/>
          <w:lang w:eastAsia="zh-CN"/>
        </w:rPr>
        <w:t>.三医联动一张网：</w:t>
      </w:r>
      <w:r>
        <w:rPr>
          <w:rFonts w:hint="eastAsia" w:ascii="仿宋_GB2312" w:hAnsi="仿宋_GB2312" w:eastAsia="仿宋_GB2312" w:cs="仿宋_GB2312"/>
          <w:b w:val="0"/>
          <w:bCs w:val="0"/>
          <w:color w:val="auto"/>
          <w:spacing w:val="0"/>
          <w:sz w:val="30"/>
          <w:szCs w:val="30"/>
          <w:highlight w:val="none"/>
        </w:rPr>
        <w:t>我省在全国率先启动的“三医”联动信息化平台项目，旨在打通医保、医疗、医药之间的数据壁垒，构建全省统一、全流程贯通的“三医”协同信息体系。</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02" w:firstLineChars="200"/>
        <w:jc w:val="both"/>
        <w:textAlignment w:val="auto"/>
        <w:rPr>
          <w:rFonts w:hint="eastAsia" w:ascii="仿宋_GB2312" w:hAnsi="仿宋_GB2312" w:eastAsia="仿宋_GB2312" w:cs="仿宋_GB2312"/>
          <w:b w:val="0"/>
          <w:bCs w:val="0"/>
          <w:color w:val="auto"/>
          <w:spacing w:val="0"/>
          <w:sz w:val="30"/>
          <w:szCs w:val="30"/>
          <w:highlight w:val="none"/>
        </w:rPr>
      </w:pPr>
      <w:r>
        <w:rPr>
          <w:rFonts w:hint="eastAsia" w:ascii="仿宋_GB2312" w:hAnsi="仿宋_GB2312" w:eastAsia="仿宋_GB2312" w:cs="仿宋_GB2312"/>
          <w:b/>
          <w:bCs/>
          <w:color w:val="auto"/>
          <w:spacing w:val="0"/>
          <w:sz w:val="30"/>
          <w:szCs w:val="30"/>
          <w:highlight w:val="none"/>
          <w:lang w:val="en-US" w:eastAsia="zh-CN"/>
        </w:rPr>
        <w:t>15</w:t>
      </w:r>
      <w:r>
        <w:rPr>
          <w:rFonts w:hint="eastAsia" w:ascii="仿宋_GB2312" w:hAnsi="仿宋_GB2312" w:eastAsia="仿宋_GB2312" w:cs="仿宋_GB2312"/>
          <w:b/>
          <w:bCs/>
          <w:color w:val="auto"/>
          <w:spacing w:val="0"/>
          <w:sz w:val="30"/>
          <w:szCs w:val="30"/>
          <w:highlight w:val="none"/>
          <w:lang w:eastAsia="zh-CN"/>
        </w:rPr>
        <w:t>.医保影像云：</w:t>
      </w:r>
      <w:r>
        <w:rPr>
          <w:rFonts w:hint="eastAsia" w:ascii="仿宋_GB2312" w:hAnsi="仿宋_GB2312" w:eastAsia="仿宋_GB2312" w:cs="仿宋_GB2312"/>
          <w:b w:val="0"/>
          <w:bCs w:val="0"/>
          <w:color w:val="auto"/>
          <w:spacing w:val="0"/>
          <w:sz w:val="30"/>
          <w:szCs w:val="30"/>
          <w:highlight w:val="none"/>
        </w:rPr>
        <w:t>依托医保信息平台，实现全省定点医疗机构影像数据统一存储、共享调阅，支持跨院调阅和智能辅助诊断。</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02" w:firstLineChars="200"/>
        <w:jc w:val="both"/>
        <w:textAlignment w:val="auto"/>
        <w:rPr>
          <w:rFonts w:hint="eastAsia" w:ascii="仿宋_GB2312" w:hAnsi="仿宋_GB2312" w:eastAsia="仿宋_GB2312" w:cs="仿宋_GB2312"/>
          <w:b/>
          <w:bCs/>
          <w:color w:val="auto"/>
          <w:spacing w:val="0"/>
          <w:sz w:val="30"/>
          <w:szCs w:val="30"/>
          <w:highlight w:val="none"/>
          <w:lang w:eastAsia="zh-CN"/>
        </w:rPr>
      </w:pPr>
      <w:r>
        <w:rPr>
          <w:rFonts w:hint="eastAsia" w:ascii="仿宋_GB2312" w:hAnsi="仿宋_GB2312" w:eastAsia="仿宋_GB2312" w:cs="仿宋_GB2312"/>
          <w:b/>
          <w:bCs/>
          <w:color w:val="auto"/>
          <w:spacing w:val="0"/>
          <w:sz w:val="30"/>
          <w:szCs w:val="30"/>
          <w:highlight w:val="none"/>
          <w:lang w:val="en-US" w:eastAsia="zh-CN"/>
        </w:rPr>
        <w:t>16</w:t>
      </w:r>
      <w:r>
        <w:rPr>
          <w:rFonts w:hint="eastAsia" w:ascii="仿宋_GB2312" w:hAnsi="仿宋_GB2312" w:eastAsia="仿宋_GB2312" w:cs="仿宋_GB2312"/>
          <w:b/>
          <w:bCs/>
          <w:color w:val="auto"/>
          <w:spacing w:val="0"/>
          <w:sz w:val="30"/>
          <w:szCs w:val="30"/>
          <w:highlight w:val="none"/>
          <w:lang w:eastAsia="zh-CN"/>
        </w:rPr>
        <w:t>.医保病理云：</w:t>
      </w:r>
      <w:r>
        <w:rPr>
          <w:rFonts w:hint="eastAsia" w:ascii="仿宋_GB2312" w:hAnsi="仿宋_GB2312" w:eastAsia="仿宋_GB2312" w:cs="仿宋_GB2312"/>
          <w:b w:val="0"/>
          <w:bCs w:val="0"/>
          <w:color w:val="auto"/>
          <w:spacing w:val="0"/>
          <w:sz w:val="30"/>
          <w:szCs w:val="30"/>
          <w:highlight w:val="none"/>
        </w:rPr>
        <w:t>依托医保信息平台，汇聚整合病理检查数据资源，支持跨机构病理数据共享调阅，提升病理诊断效率与质量。</w:t>
      </w:r>
    </w:p>
    <w:p>
      <w:pPr>
        <w:keepNext w:val="0"/>
        <w:keepLines w:val="0"/>
        <w:pageBreakBefore w:val="0"/>
        <w:widowControl w:val="0"/>
        <w:kinsoku/>
        <w:wordWrap/>
        <w:overflowPunct w:val="0"/>
        <w:topLinePunct w:val="0"/>
        <w:autoSpaceDE/>
        <w:autoSpaceDN/>
        <w:bidi w:val="0"/>
        <w:adjustRightInd w:val="0"/>
        <w:snapToGrid w:val="0"/>
        <w:spacing w:line="578" w:lineRule="exact"/>
        <w:ind w:firstLine="600" w:firstLineChars="200"/>
        <w:jc w:val="both"/>
        <w:textAlignment w:val="auto"/>
        <w:rPr>
          <w:rFonts w:hint="eastAsia" w:ascii="仿宋_GB2312" w:hAnsi="仿宋_GB2312" w:eastAsia="仿宋_GB2312" w:cs="仿宋_GB2312"/>
          <w:color w:val="auto"/>
          <w:spacing w:val="0"/>
          <w:sz w:val="30"/>
          <w:szCs w:val="30"/>
        </w:rPr>
      </w:pPr>
      <w:r>
        <w:rPr>
          <w:rFonts w:hint="eastAsia" w:ascii="仿宋_GB2312" w:hAnsi="仿宋_GB2312" w:eastAsia="仿宋_GB2312" w:cs="仿宋_GB2312"/>
          <w:b w:val="0"/>
          <w:bCs w:val="0"/>
          <w:color w:val="auto"/>
          <w:spacing w:val="0"/>
          <w:sz w:val="30"/>
          <w:szCs w:val="30"/>
          <w:highlight w:val="none"/>
        </w:rPr>
        <w:t>使用说明：</w:t>
      </w:r>
      <w:r>
        <w:rPr>
          <w:rFonts w:hint="eastAsia" w:ascii="仿宋_GB2312" w:hAnsi="仿宋_GB2312" w:eastAsia="仿宋_GB2312" w:cs="仿宋_GB2312"/>
          <w:color w:val="auto"/>
          <w:spacing w:val="0"/>
          <w:sz w:val="30"/>
          <w:szCs w:val="30"/>
          <w:highlight w:val="none"/>
        </w:rPr>
        <w:t>本名词解释作为规划正文的补充，供执行和宣传时参考。名词解释的释义以本规划使用语境为准，不取代相关法律法规和规范性文件的定义。</w:t>
      </w:r>
    </w:p>
    <w:p>
      <w:pPr>
        <w:keepNext w:val="0"/>
        <w:keepLines w:val="0"/>
        <w:pageBreakBefore w:val="0"/>
        <w:widowControl w:val="0"/>
        <w:kinsoku/>
        <w:wordWrap/>
        <w:overflowPunct w:val="0"/>
        <w:topLinePunct w:val="0"/>
        <w:autoSpaceDE/>
        <w:autoSpaceDN/>
        <w:bidi w:val="0"/>
        <w:adjustRightInd w:val="0"/>
        <w:snapToGrid w:val="0"/>
        <w:spacing w:line="620" w:lineRule="exact"/>
        <w:textAlignment w:val="auto"/>
        <w:rPr>
          <w:rFonts w:hint="default" w:ascii="Times New Roman" w:hAnsi="Times New Roman" w:cs="Times New Roman"/>
          <w:color w:val="auto"/>
          <w:spacing w:val="0"/>
        </w:rPr>
      </w:pPr>
    </w:p>
    <w:p>
      <w:pPr>
        <w:rPr>
          <w:color w:val="auto"/>
        </w:rPr>
      </w:pPr>
    </w:p>
    <w:sectPr>
      <w:pgSz w:w="11906" w:h="16838"/>
      <w:pgMar w:top="2098" w:right="1474" w:bottom="1984" w:left="1587" w:header="850" w:footer="141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bidi w:val="0"/>
      <w:adjustRightInd/>
      <w:snapToGrid w:val="0"/>
      <w:jc w:val="center"/>
      <w:textAlignment w:val="auto"/>
      <w:rPr>
        <w:rFonts w:hint="eastAsia" w:ascii="宋体" w:hAnsi="宋体" w:eastAsia="宋体" w:cs="宋体"/>
        <w:sz w:val="28"/>
        <w:szCs w:val="28"/>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bidi w:val="0"/>
      <w:adjustRightInd/>
      <w:snapToGrid w:val="0"/>
      <w:jc w:val="center"/>
      <w:textAlignment w:val="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bidi w:val="0"/>
      <w:adjustRightInd/>
      <w:snapToGrid w:val="0"/>
      <w:jc w:val="center"/>
      <w:textAlignment w:val="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bidi w:val="0"/>
      <w:adjustRightInd/>
      <w:snapToGrid w:val="0"/>
      <w:jc w:val="center"/>
      <w:textAlignment w:val="auto"/>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bidi w:val="0"/>
      <w:adjustRightInd/>
      <w:snapToGrid w:val="0"/>
      <w:jc w:val="center"/>
      <w:textAlignment w:val="auto"/>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bidi w:val="0"/>
      <w:adjustRightInd/>
      <w:snapToGrid w:val="0"/>
      <w:jc w:val="center"/>
      <w:textAlignment w:val="auto"/>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-123825</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9.75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InG37jWAAAACAEAAA8AAAAAAAAAAQAgAAAAOAAAAGRycy9kb3ducmV2LnhtbFBL&#10;AQIUABQAAAAIAIdO4kDiMuAOGwIAACkEAAAOAAAAAAAAAAEAIAAAADsBAABkcnMvZTJvRG9jLnht&#10;bFBLBQYAAAAABgAGAFkBAADIBQAAAAA=&#10;">
              <v:fill on="f" focussize="0,0"/>
              <v:stroke on="f" weight="0.5pt"/>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bidi w:val="0"/>
      <w:adjustRightInd/>
      <w:snapToGrid w:val="0"/>
      <w:jc w:val="center"/>
      <w:textAlignment w:val="auto"/>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-123825</wp:posOffset>
              </wp:positionV>
              <wp:extent cx="539750" cy="36068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539750" cy="3606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- 3 -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top:-9.75pt;height:28.4pt;width:42.5pt;mso-position-horizontal:outside;mso-position-horizontal-relative:margin;z-index:251659264;mso-width-relative:page;mso-height-relative:page;" filled="f" stroked="f" coordsize="21600,21600" o:gfxdata="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BYAAABkcnMvUEsB&#10;AhQAFAAAAAgAh07iQJGjRozWAAAABgEAAA8AAAAAAAAAAQAgAAAAOAAAAGRycy9kb3ducmV2Lnht&#10;bFBLAQIUABQAAAAIAIdO4kDKb1FqHgIAACkEAAAOAAAAAAAAAAEAIAAAADsBAABkcnMvZTJvRG9j&#10;LnhtbFBLBQYAAAAABgAGAFkBAADLBQAAAAA=&#10;">
              <v:fill on="f" focussize="0,0"/>
              <v:stroke on="f" weight="0.5pt"/>
              <v:imagedata o:title=""/>
              <o:lock v:ext="edit" aspectratio="f"/>
              <v:textbox inset="0mm,0mm,0mm,0mm">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- 3 -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bidi w:val="0"/>
      <w:adjustRightInd/>
      <w:snapToGrid w:val="0"/>
      <w:jc w:val="center"/>
      <w:textAlignment w:val="auto"/>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-123825</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9.75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InG37jWAAAACAEAAA8AAAAAAAAAAQAgAAAAOAAAAGRycy9kb3ducmV2LnhtbFBL&#10;AQIUABQAAAAIAIdO4kCa/cNOGwIAACkEAAAOAAAAAAAAAAEAIAAAADsBAABkcnMvZTJvRG9jLnht&#10;bFBLBQYAAAAABgAGAFkBAADIBQAAAAA=&#10;">
              <v:fill on="f" focussize="0,0"/>
              <v:stroke on="f" weight="0.5pt"/>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trackRevisions w:val="tru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BF10CE"/>
    <w:rsid w:val="06062671"/>
    <w:rsid w:val="07FBAB8F"/>
    <w:rsid w:val="137878C9"/>
    <w:rsid w:val="1FBA05FD"/>
    <w:rsid w:val="26B854AD"/>
    <w:rsid w:val="2BFB26A7"/>
    <w:rsid w:val="3EC77934"/>
    <w:rsid w:val="3EE64B98"/>
    <w:rsid w:val="3F9F2FC2"/>
    <w:rsid w:val="3FFC7DBB"/>
    <w:rsid w:val="53BD702B"/>
    <w:rsid w:val="5D798FA2"/>
    <w:rsid w:val="5EF3D88C"/>
    <w:rsid w:val="5EFF05B3"/>
    <w:rsid w:val="5FBD9BC7"/>
    <w:rsid w:val="5FDF7F2F"/>
    <w:rsid w:val="67BB0D80"/>
    <w:rsid w:val="6A7EC93C"/>
    <w:rsid w:val="6B8EA6AB"/>
    <w:rsid w:val="6FD36AE0"/>
    <w:rsid w:val="75BFB405"/>
    <w:rsid w:val="78AB9462"/>
    <w:rsid w:val="7BBF10CE"/>
    <w:rsid w:val="7BFFCCE4"/>
    <w:rsid w:val="7F3481B3"/>
    <w:rsid w:val="7FBA8169"/>
    <w:rsid w:val="7FCDE852"/>
    <w:rsid w:val="7FEF4E07"/>
    <w:rsid w:val="7FFDEF57"/>
    <w:rsid w:val="9E1DDE32"/>
    <w:rsid w:val="BBB74EAA"/>
    <w:rsid w:val="BD6FF608"/>
    <w:rsid w:val="BDF53D8E"/>
    <w:rsid w:val="BDFF1402"/>
    <w:rsid w:val="BFBE00E8"/>
    <w:rsid w:val="C8BFD867"/>
    <w:rsid w:val="CAEBA894"/>
    <w:rsid w:val="D6FB38AD"/>
    <w:rsid w:val="D7FD6E70"/>
    <w:rsid w:val="D7FFA218"/>
    <w:rsid w:val="D7FFF10B"/>
    <w:rsid w:val="DFB65EB1"/>
    <w:rsid w:val="DFCB532D"/>
    <w:rsid w:val="E61E4B0A"/>
    <w:rsid w:val="E78F7459"/>
    <w:rsid w:val="EAFFBE7B"/>
    <w:rsid w:val="F0FFCAE3"/>
    <w:rsid w:val="F4BF7E7A"/>
    <w:rsid w:val="F677BB39"/>
    <w:rsid w:val="F6D1D6C6"/>
    <w:rsid w:val="F7DFA4EB"/>
    <w:rsid w:val="FB90EC32"/>
    <w:rsid w:val="FEFFFB80"/>
    <w:rsid w:val="FF253D34"/>
    <w:rsid w:val="FF37A6A6"/>
    <w:rsid w:val="FFD4DFE9"/>
    <w:rsid w:val="FFFC5FC3"/>
    <w:rsid w:val="FFFF5AE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index 5"/>
    <w:basedOn w:val="1"/>
    <w:next w:val="1"/>
    <w:qFormat/>
    <w:uiPriority w:val="0"/>
    <w:pPr>
      <w:widowControl w:val="0"/>
      <w:ind w:left="1680"/>
      <w:jc w:val="both"/>
    </w:pPr>
    <w:rPr>
      <w:rFonts w:ascii="Calibri" w:hAnsi="Calibri" w:eastAsia="宋体" w:cs="Times New Roman"/>
      <w:kern w:val="2"/>
      <w:sz w:val="21"/>
      <w:szCs w:val="22"/>
      <w:lang w:val="en-US" w:eastAsia="zh-CN" w:bidi="ar-SA"/>
    </w:rPr>
  </w:style>
  <w:style w:type="paragraph" w:styleId="3">
    <w:name w:val="Body Text"/>
    <w:basedOn w:val="1"/>
    <w:next w:val="4"/>
    <w:unhideWhenUsed/>
    <w:qFormat/>
    <w:uiPriority w:val="99"/>
    <w:pPr>
      <w:spacing w:after="120"/>
    </w:pPr>
  </w:style>
  <w:style w:type="paragraph" w:styleId="4">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cs="Times New Roman"/>
      <w:sz w:val="24"/>
      <w:szCs w:val="24"/>
    </w:rPr>
  </w:style>
  <w:style w:type="paragraph" w:styleId="5">
    <w:name w:val="footer"/>
    <w:basedOn w:val="1"/>
    <w:next w:val="2"/>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32</Pages>
  <Words>16492</Words>
  <Characters>16697</Characters>
  <Lines>0</Lines>
  <Paragraphs>0</Paragraphs>
  <TotalTime>4</TotalTime>
  <ScaleCrop>false</ScaleCrop>
  <LinksUpToDate>false</LinksUpToDate>
  <CharactersWithSpaces>16991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2026-10-06T09:58:00Z</dcterms:created>
  <dc:creator>greatwall</dc:creator>
  <cp:lastModifiedBy>abc</cp:lastModifiedBy>
  <dcterms:modified xsi:type="dcterms:W3CDTF">2026-10-19T15:01:12Z</dcterms:modified>
  <dc:title>附件2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TemplateDocerSaveRecord">
    <vt:lpwstr>eyJoZGlkIjoiMmQ5OTVhMjFiOGNjZGViZTE4ZDE3MTMwZTIxN2VlNTEiLCJ1c2VySWQiOiIxNTQ5MTQ2NjczIn0=</vt:lpwstr>
  </property>
  <property fmtid="{D5CDD505-2E9C-101B-9397-08002B2CF9AE}" pid="4" name="ICV">
    <vt:lpwstr>04451079AE88E235CF86D16A0ACDAFC5</vt:lpwstr>
  </property>
</Properties>
</file>